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682B97" w14:textId="17CC8B1F" w:rsidR="00F42A73" w:rsidRPr="00014D23" w:rsidRDefault="007C45E0" w:rsidP="00506B07">
      <w:pPr>
        <w:spacing w:before="240" w:after="240" w:line="360" w:lineRule="auto"/>
        <w:jc w:val="both"/>
        <w:rPr>
          <w:rFonts w:ascii="Palatino Linotype" w:hAnsi="Palatino Linotype"/>
          <w:b/>
        </w:rPr>
      </w:pPr>
      <w:r w:rsidRPr="00014D23">
        <w:rPr>
          <w:rFonts w:ascii="Palatino Linotype" w:hAnsi="Palatino Linotype"/>
          <w:b/>
        </w:rPr>
        <w:t>VOTO</w:t>
      </w:r>
      <w:r w:rsidR="001928EC" w:rsidRPr="00014D23">
        <w:rPr>
          <w:rFonts w:ascii="Palatino Linotype" w:hAnsi="Palatino Linotype"/>
          <w:b/>
        </w:rPr>
        <w:t xml:space="preserve"> </w:t>
      </w:r>
      <w:r w:rsidR="00F42A73" w:rsidRPr="00014D23">
        <w:rPr>
          <w:rFonts w:ascii="Palatino Linotype" w:hAnsi="Palatino Linotype"/>
          <w:b/>
        </w:rPr>
        <w:t xml:space="preserve">PARTICULAR </w:t>
      </w:r>
      <w:r w:rsidR="005F58B1" w:rsidRPr="00014D23">
        <w:rPr>
          <w:rFonts w:ascii="Palatino Linotype" w:hAnsi="Palatino Linotype"/>
          <w:b/>
        </w:rPr>
        <w:t xml:space="preserve">QUE </w:t>
      </w:r>
      <w:r w:rsidR="00E7360F" w:rsidRPr="00014D23">
        <w:rPr>
          <w:rFonts w:ascii="Palatino Linotype" w:hAnsi="Palatino Linotype"/>
          <w:b/>
        </w:rPr>
        <w:t xml:space="preserve">FORMULA </w:t>
      </w:r>
      <w:r w:rsidR="005F58B1" w:rsidRPr="00014D23">
        <w:rPr>
          <w:rFonts w:ascii="Palatino Linotype" w:hAnsi="Palatino Linotype"/>
          <w:b/>
        </w:rPr>
        <w:t>EL COMISIONADO</w:t>
      </w:r>
      <w:r w:rsidR="00C55313" w:rsidRPr="00014D23">
        <w:rPr>
          <w:rFonts w:ascii="Palatino Linotype" w:hAnsi="Palatino Linotype"/>
          <w:b/>
        </w:rPr>
        <w:t xml:space="preserve"> JAVIER MARTÍNEZ CRUZ, </w:t>
      </w:r>
      <w:r w:rsidR="0036720F" w:rsidRPr="00014D23">
        <w:rPr>
          <w:rFonts w:ascii="Palatino Linotype" w:hAnsi="Palatino Linotype"/>
          <w:b/>
        </w:rPr>
        <w:t>EN RELACIÓN CON LA RESOLUCIÓ</w:t>
      </w:r>
      <w:r w:rsidR="00C55313" w:rsidRPr="00014D23">
        <w:rPr>
          <w:rFonts w:ascii="Palatino Linotype" w:hAnsi="Palatino Linotype"/>
          <w:b/>
        </w:rPr>
        <w:t>N DICTADA POR EL</w:t>
      </w:r>
      <w:r w:rsidR="0036720F" w:rsidRPr="00014D23">
        <w:rPr>
          <w:rFonts w:ascii="Palatino Linotype" w:hAnsi="Palatino Linotype"/>
          <w:b/>
        </w:rPr>
        <w:t xml:space="preserve"> PLENO DE ESTE INSTITUTO DE TRA</w:t>
      </w:r>
      <w:r w:rsidR="00C55313" w:rsidRPr="00014D23">
        <w:rPr>
          <w:rFonts w:ascii="Palatino Linotype" w:hAnsi="Palatino Linotype"/>
          <w:b/>
        </w:rPr>
        <w:t>N</w:t>
      </w:r>
      <w:r w:rsidR="0036720F" w:rsidRPr="00014D23">
        <w:rPr>
          <w:rFonts w:ascii="Palatino Linotype" w:hAnsi="Palatino Linotype"/>
          <w:b/>
        </w:rPr>
        <w:t>S</w:t>
      </w:r>
      <w:r w:rsidR="00FC21AA" w:rsidRPr="00014D23">
        <w:rPr>
          <w:rFonts w:ascii="Palatino Linotype" w:hAnsi="Palatino Linotype"/>
          <w:b/>
        </w:rPr>
        <w:t>PARENCIA, ACCESO A LA INFORMACIÓ</w:t>
      </w:r>
      <w:r w:rsidR="00C55313" w:rsidRPr="00014D23">
        <w:rPr>
          <w:rFonts w:ascii="Palatino Linotype" w:hAnsi="Palatino Linotype"/>
          <w:b/>
        </w:rPr>
        <w:t xml:space="preserve">N PÚBLICA Y PROTECCIÓN DE DATOS PERSONALES DEL ESTADO DE MÉXICO Y MUNICIPIOS, EN LA </w:t>
      </w:r>
      <w:r w:rsidRPr="00014D23">
        <w:rPr>
          <w:rFonts w:ascii="Palatino Linotype" w:hAnsi="Palatino Linotype"/>
          <w:b/>
        </w:rPr>
        <w:t>CUADR</w:t>
      </w:r>
      <w:r w:rsidRPr="00014D23">
        <w:rPr>
          <w:rFonts w:ascii="Palatino Linotype" w:hAnsi="Palatino Linotype"/>
          <w:b/>
          <w:lang w:val="es-MX"/>
        </w:rPr>
        <w:t>AGÉSIMA</w:t>
      </w:r>
      <w:r w:rsidR="000E11A9" w:rsidRPr="00014D23">
        <w:rPr>
          <w:rFonts w:ascii="Palatino Linotype" w:hAnsi="Palatino Linotype"/>
          <w:b/>
        </w:rPr>
        <w:t xml:space="preserve"> </w:t>
      </w:r>
      <w:r w:rsidR="00047EDF" w:rsidRPr="00014D23">
        <w:rPr>
          <w:rFonts w:ascii="Palatino Linotype" w:hAnsi="Palatino Linotype"/>
          <w:b/>
        </w:rPr>
        <w:t>SESI</w:t>
      </w:r>
      <w:r w:rsidRPr="00014D23">
        <w:rPr>
          <w:rFonts w:ascii="Palatino Linotype" w:hAnsi="Palatino Linotype"/>
          <w:b/>
        </w:rPr>
        <w:t>ÓN ORDINARIA DE FECHA TREINTA Y UNO DE OCTUBRE</w:t>
      </w:r>
      <w:r w:rsidR="00267C5C" w:rsidRPr="00014D23">
        <w:rPr>
          <w:rFonts w:ascii="Palatino Linotype" w:hAnsi="Palatino Linotype"/>
          <w:b/>
        </w:rPr>
        <w:t xml:space="preserve"> </w:t>
      </w:r>
      <w:r w:rsidR="00050132" w:rsidRPr="00014D23">
        <w:rPr>
          <w:rFonts w:ascii="Palatino Linotype" w:hAnsi="Palatino Linotype"/>
          <w:b/>
        </w:rPr>
        <w:t>DE DOS MIL DIECIOCHO</w:t>
      </w:r>
      <w:r w:rsidR="00C55313" w:rsidRPr="00014D23">
        <w:rPr>
          <w:rFonts w:ascii="Palatino Linotype" w:hAnsi="Palatino Linotype"/>
          <w:b/>
        </w:rPr>
        <w:t xml:space="preserve">, EN </w:t>
      </w:r>
      <w:r w:rsidR="00DC3BDE" w:rsidRPr="00014D23">
        <w:rPr>
          <w:rFonts w:ascii="Palatino Linotype" w:hAnsi="Palatino Linotype"/>
          <w:b/>
        </w:rPr>
        <w:t>EL</w:t>
      </w:r>
      <w:r w:rsidR="00C55313" w:rsidRPr="00014D23">
        <w:rPr>
          <w:rFonts w:ascii="Palatino Linotype" w:hAnsi="Palatino Linotype"/>
          <w:b/>
        </w:rPr>
        <w:t xml:space="preserve"> RECU</w:t>
      </w:r>
      <w:r w:rsidR="00F42A73" w:rsidRPr="00014D23">
        <w:rPr>
          <w:rFonts w:ascii="Palatino Linotype" w:hAnsi="Palatino Linotype"/>
          <w:b/>
        </w:rPr>
        <w:t xml:space="preserve">RSO DE REVISIÓN </w:t>
      </w:r>
      <w:r w:rsidRPr="00014D23">
        <w:rPr>
          <w:rFonts w:ascii="Palatino Linotype" w:hAnsi="Palatino Linotype"/>
          <w:b/>
        </w:rPr>
        <w:t>03062</w:t>
      </w:r>
      <w:r w:rsidR="000E11A9" w:rsidRPr="00014D23">
        <w:rPr>
          <w:rFonts w:ascii="Palatino Linotype" w:hAnsi="Palatino Linotype"/>
          <w:b/>
        </w:rPr>
        <w:t>/INFOEM/IP/RR/2018</w:t>
      </w:r>
      <w:r w:rsidR="007F0E85" w:rsidRPr="00014D23">
        <w:rPr>
          <w:rFonts w:ascii="Palatino Linotype" w:hAnsi="Palatino Linotype"/>
          <w:b/>
        </w:rPr>
        <w:t xml:space="preserve"> y acumulados.</w:t>
      </w:r>
    </w:p>
    <w:p w14:paraId="776AD4A6" w14:textId="77777777" w:rsidR="00963577" w:rsidRPr="00014D23" w:rsidRDefault="00963577" w:rsidP="00910E6C">
      <w:pPr>
        <w:spacing w:before="240" w:line="360" w:lineRule="auto"/>
        <w:contextualSpacing/>
        <w:jc w:val="both"/>
        <w:rPr>
          <w:rFonts w:ascii="Palatino Linotype" w:hAnsi="Palatino Linotype"/>
          <w:lang w:eastAsia="es-ES_tradnl"/>
        </w:rPr>
      </w:pPr>
    </w:p>
    <w:p w14:paraId="20249F57" w14:textId="2FCCDE95" w:rsidR="00963577" w:rsidRPr="00014D23" w:rsidRDefault="00963577" w:rsidP="00963577">
      <w:pPr>
        <w:spacing w:line="360" w:lineRule="auto"/>
        <w:jc w:val="both"/>
        <w:rPr>
          <w:rFonts w:ascii="Palatino Linotype" w:hAnsi="Palatino Linotype"/>
        </w:rPr>
      </w:pPr>
      <w:r w:rsidRPr="00014D23">
        <w:rPr>
          <w:rFonts w:ascii="Palatino Linotype" w:hAnsi="Palatino Linotype"/>
        </w:rPr>
        <w:t>Con fundamento en lo dispuesto por el artículo 14, fracciones X y XI, del Reglamento del Instituto de Transparencia, Acceso a la Información Pública y Protección de Datos Personales del Estado de México, el Comisionado</w:t>
      </w:r>
      <w:r w:rsidR="000E11A9" w:rsidRPr="00014D23">
        <w:rPr>
          <w:rFonts w:ascii="Palatino Linotype" w:hAnsi="Palatino Linotype"/>
        </w:rPr>
        <w:t xml:space="preserve"> Ja</w:t>
      </w:r>
      <w:r w:rsidR="00617369" w:rsidRPr="00014D23">
        <w:rPr>
          <w:rFonts w:ascii="Palatino Linotype" w:hAnsi="Palatino Linotype"/>
        </w:rPr>
        <w:t>vier Martínez Cruz emite VOTO</w:t>
      </w:r>
      <w:r w:rsidRPr="00014D23">
        <w:rPr>
          <w:rFonts w:ascii="Palatino Linotype" w:hAnsi="Palatino Linotype"/>
        </w:rPr>
        <w:t xml:space="preserve"> PARTICULAR respecto a la resolución dictada en el recurso de revisión número </w:t>
      </w:r>
      <w:r w:rsidR="007F0E85" w:rsidRPr="00014D23">
        <w:rPr>
          <w:rFonts w:ascii="Palatino Linotype" w:hAnsi="Palatino Linotype"/>
          <w:b/>
        </w:rPr>
        <w:t>03</w:t>
      </w:r>
      <w:r w:rsidR="00617369" w:rsidRPr="00014D23">
        <w:rPr>
          <w:rFonts w:ascii="Palatino Linotype" w:hAnsi="Palatino Linotype"/>
          <w:b/>
        </w:rPr>
        <w:t>062</w:t>
      </w:r>
      <w:r w:rsidR="000E11A9" w:rsidRPr="00014D23">
        <w:rPr>
          <w:rFonts w:ascii="Palatino Linotype" w:hAnsi="Palatino Linotype"/>
          <w:b/>
        </w:rPr>
        <w:t>/INFOEM/IP/RR/2018</w:t>
      </w:r>
      <w:r w:rsidR="007F0E85" w:rsidRPr="00014D23">
        <w:rPr>
          <w:rFonts w:ascii="Palatino Linotype" w:hAnsi="Palatino Linotype"/>
          <w:b/>
        </w:rPr>
        <w:t xml:space="preserve"> y acumulados</w:t>
      </w:r>
      <w:r w:rsidRPr="00014D23">
        <w:rPr>
          <w:rFonts w:ascii="Palatino Linotype" w:hAnsi="Palatino Linotype"/>
        </w:rPr>
        <w:t xml:space="preserve">, pronunciada por el Pleno de este Instituto ante el proyecto presentado por </w:t>
      </w:r>
      <w:r w:rsidR="00E12948" w:rsidRPr="00014D23">
        <w:rPr>
          <w:rFonts w:ascii="Palatino Linotype" w:hAnsi="Palatino Linotype"/>
        </w:rPr>
        <w:t>la</w:t>
      </w:r>
      <w:r w:rsidR="00050132" w:rsidRPr="00014D23">
        <w:rPr>
          <w:rFonts w:ascii="Palatino Linotype" w:hAnsi="Palatino Linotype"/>
        </w:rPr>
        <w:t xml:space="preserve"> Comisionad</w:t>
      </w:r>
      <w:r w:rsidR="000F50E8" w:rsidRPr="00014D23">
        <w:rPr>
          <w:rFonts w:ascii="Palatino Linotype" w:hAnsi="Palatino Linotype"/>
        </w:rPr>
        <w:t>a</w:t>
      </w:r>
      <w:r w:rsidR="000F50E8" w:rsidRPr="00014D23">
        <w:rPr>
          <w:rFonts w:ascii="Palatino Linotype" w:hAnsi="Palatino Linotype"/>
          <w:b/>
          <w:lang w:val="es-ES_tradnl"/>
        </w:rPr>
        <w:t xml:space="preserve"> </w:t>
      </w:r>
      <w:r w:rsidR="00617369" w:rsidRPr="00014D23">
        <w:rPr>
          <w:rFonts w:ascii="Palatino Linotype" w:hAnsi="Palatino Linotype"/>
          <w:b/>
          <w:lang w:val="es-ES_tradnl"/>
        </w:rPr>
        <w:t xml:space="preserve">Eva </w:t>
      </w:r>
      <w:proofErr w:type="spellStart"/>
      <w:r w:rsidR="00617369" w:rsidRPr="00014D23">
        <w:rPr>
          <w:rFonts w:ascii="Palatino Linotype" w:hAnsi="Palatino Linotype"/>
          <w:b/>
          <w:lang w:val="es-ES_tradnl"/>
        </w:rPr>
        <w:t>Abaid</w:t>
      </w:r>
      <w:proofErr w:type="spellEnd"/>
      <w:r w:rsidR="00617369" w:rsidRPr="00014D23">
        <w:rPr>
          <w:rFonts w:ascii="Palatino Linotype" w:hAnsi="Palatino Linotype"/>
          <w:b/>
          <w:lang w:val="es-ES_tradnl"/>
        </w:rPr>
        <w:t xml:space="preserve"> </w:t>
      </w:r>
      <w:proofErr w:type="spellStart"/>
      <w:r w:rsidR="00617369" w:rsidRPr="00014D23">
        <w:rPr>
          <w:rFonts w:ascii="Palatino Linotype" w:hAnsi="Palatino Linotype"/>
          <w:b/>
          <w:lang w:val="es-ES_tradnl"/>
        </w:rPr>
        <w:t>Yapur</w:t>
      </w:r>
      <w:proofErr w:type="spellEnd"/>
      <w:r w:rsidRPr="00014D23">
        <w:rPr>
          <w:rFonts w:ascii="Palatino Linotype" w:hAnsi="Palatino Linotype"/>
        </w:rPr>
        <w:t xml:space="preserve">, que es del tenor siguiente: </w:t>
      </w:r>
    </w:p>
    <w:p w14:paraId="2601E809" w14:textId="77777777" w:rsidR="00963577" w:rsidRPr="00014D23" w:rsidRDefault="00963577" w:rsidP="00963577">
      <w:pPr>
        <w:spacing w:before="120" w:after="120" w:line="360" w:lineRule="auto"/>
        <w:jc w:val="both"/>
        <w:rPr>
          <w:rFonts w:ascii="Palatino Linotype" w:hAnsi="Palatino Linotype"/>
          <w:color w:val="FF0000"/>
        </w:rPr>
      </w:pPr>
    </w:p>
    <w:p w14:paraId="7A4E4443" w14:textId="21EE2D72" w:rsidR="00424973" w:rsidRPr="00014D23" w:rsidRDefault="000B5877" w:rsidP="00DA1BAA">
      <w:pPr>
        <w:spacing w:before="240" w:after="240" w:line="360" w:lineRule="auto"/>
        <w:jc w:val="both"/>
        <w:rPr>
          <w:rFonts w:ascii="Palatino Linotype" w:hAnsi="Palatino Linotype"/>
          <w:b/>
        </w:rPr>
      </w:pPr>
      <w:r w:rsidRPr="00014D23">
        <w:rPr>
          <w:rFonts w:ascii="Palatino Linotype" w:hAnsi="Palatino Linotype"/>
        </w:rPr>
        <w:t>De manera</w:t>
      </w:r>
      <w:r w:rsidR="000E11A9" w:rsidRPr="00014D23">
        <w:rPr>
          <w:rFonts w:ascii="Palatino Linotype" w:hAnsi="Palatino Linotype"/>
        </w:rPr>
        <w:t xml:space="preserve"> previa a la emisión de la</w:t>
      </w:r>
      <w:r w:rsidRPr="00014D23">
        <w:rPr>
          <w:rFonts w:ascii="Palatino Linotype" w:hAnsi="Palatino Linotype"/>
        </w:rPr>
        <w:t xml:space="preserve"> prese</w:t>
      </w:r>
      <w:r w:rsidR="000E11A9" w:rsidRPr="00014D23">
        <w:rPr>
          <w:rFonts w:ascii="Palatino Linotype" w:hAnsi="Palatino Linotype"/>
        </w:rPr>
        <w:t>nte opinión</w:t>
      </w:r>
      <w:r w:rsidRPr="00014D23">
        <w:rPr>
          <w:rFonts w:ascii="Palatino Linotype" w:hAnsi="Palatino Linotype"/>
        </w:rPr>
        <w:t>, cabe precisar que la materia en que radicó</w:t>
      </w:r>
      <w:r w:rsidR="004571AC" w:rsidRPr="00014D23">
        <w:rPr>
          <w:rFonts w:ascii="Palatino Linotype" w:hAnsi="Palatino Linotype"/>
        </w:rPr>
        <w:t xml:space="preserve"> el recurso de revisión</w:t>
      </w:r>
      <w:r w:rsidR="00424973" w:rsidRPr="00014D23">
        <w:rPr>
          <w:rFonts w:ascii="Palatino Linotype" w:hAnsi="Palatino Linotype" w:cs="Arial"/>
          <w:color w:val="000000" w:themeColor="text1"/>
        </w:rPr>
        <w:t xml:space="preserve">, se advierte que </w:t>
      </w:r>
      <w:r w:rsidR="00424973" w:rsidRPr="00014D23">
        <w:rPr>
          <w:rFonts w:ascii="Palatino Linotype" w:hAnsi="Palatino Linotype"/>
          <w:b/>
          <w:color w:val="000000"/>
        </w:rPr>
        <w:t>EL RECURRENTE</w:t>
      </w:r>
      <w:r w:rsidR="00424973" w:rsidRPr="00014D23">
        <w:rPr>
          <w:rFonts w:ascii="Palatino Linotype" w:hAnsi="Palatino Linotype"/>
          <w:color w:val="000000"/>
        </w:rPr>
        <w:t xml:space="preserve"> solicitó </w:t>
      </w:r>
      <w:r w:rsidR="00424973" w:rsidRPr="00014D23">
        <w:rPr>
          <w:rFonts w:ascii="Palatino Linotype" w:hAnsi="Palatino Linotype" w:cs="Arial"/>
        </w:rPr>
        <w:t>del</w:t>
      </w:r>
      <w:r w:rsidR="00424973" w:rsidRPr="00014D23">
        <w:rPr>
          <w:rFonts w:ascii="Palatino Linotype" w:hAnsi="Palatino Linotype"/>
          <w:color w:val="000000"/>
        </w:rPr>
        <w:t xml:space="preserve"> </w:t>
      </w:r>
      <w:r w:rsidR="00424973" w:rsidRPr="00014D23">
        <w:rPr>
          <w:rFonts w:ascii="Palatino Linotype" w:hAnsi="Palatino Linotype" w:cs="Arial"/>
          <w:b/>
          <w:color w:val="000000"/>
        </w:rPr>
        <w:t>SUJETO OBLIGADO</w:t>
      </w:r>
      <w:r w:rsidR="00424973" w:rsidRPr="00014D23">
        <w:rPr>
          <w:rFonts w:ascii="Palatino Linotype" w:hAnsi="Palatino Linotype" w:cs="Arial"/>
        </w:rPr>
        <w:t xml:space="preserve">, </w:t>
      </w:r>
      <w:r w:rsidR="00424973" w:rsidRPr="00014D23">
        <w:rPr>
          <w:rFonts w:ascii="Palatino Linotype" w:hAnsi="Palatino Linotype"/>
        </w:rPr>
        <w:t xml:space="preserve">vía </w:t>
      </w:r>
      <w:r w:rsidR="00424973" w:rsidRPr="00014D23">
        <w:rPr>
          <w:rFonts w:ascii="Palatino Linotype" w:hAnsi="Palatino Linotype"/>
          <w:b/>
        </w:rPr>
        <w:t>EL</w:t>
      </w:r>
      <w:r w:rsidR="00424973" w:rsidRPr="00014D23">
        <w:rPr>
          <w:rFonts w:ascii="Palatino Linotype" w:hAnsi="Palatino Linotype"/>
        </w:rPr>
        <w:t xml:space="preserve"> </w:t>
      </w:r>
      <w:r w:rsidR="00424973" w:rsidRPr="00014D23">
        <w:rPr>
          <w:rFonts w:ascii="Palatino Linotype" w:hAnsi="Palatino Linotype"/>
          <w:b/>
        </w:rPr>
        <w:t>SAIMEX</w:t>
      </w:r>
      <w:r w:rsidR="00424973" w:rsidRPr="00014D23">
        <w:rPr>
          <w:rFonts w:ascii="Palatino Linotype" w:hAnsi="Palatino Linotype"/>
        </w:rPr>
        <w:t xml:space="preserve">, la información relacionada con el contenido de los Informes Mensuales referente a los discos del 1 al 8 que en su momento rindieron tanto el Municipio como el Sistema Municipal para el Desarrollo de la Familia de </w:t>
      </w:r>
      <w:proofErr w:type="spellStart"/>
      <w:r w:rsidR="00424973" w:rsidRPr="00014D23">
        <w:rPr>
          <w:rFonts w:ascii="Palatino Linotype" w:hAnsi="Palatino Linotype"/>
        </w:rPr>
        <w:t>Coyotepec</w:t>
      </w:r>
      <w:proofErr w:type="spellEnd"/>
      <w:r w:rsidR="00424973" w:rsidRPr="00014D23">
        <w:rPr>
          <w:rFonts w:ascii="Palatino Linotype" w:hAnsi="Palatino Linotype"/>
        </w:rPr>
        <w:t>, México, para los años 2016, 2017 y 2018.</w:t>
      </w:r>
    </w:p>
    <w:p w14:paraId="29F23714" w14:textId="77777777" w:rsidR="00424973" w:rsidRPr="00014D23" w:rsidRDefault="00424973" w:rsidP="00424973">
      <w:pPr>
        <w:spacing w:before="240" w:after="240" w:line="360" w:lineRule="auto"/>
        <w:jc w:val="both"/>
        <w:rPr>
          <w:rFonts w:ascii="Palatino Linotype" w:hAnsi="Palatino Linotype"/>
        </w:rPr>
      </w:pPr>
      <w:r w:rsidRPr="00014D23">
        <w:rPr>
          <w:rFonts w:ascii="Palatino Linotype" w:hAnsi="Palatino Linotype"/>
        </w:rPr>
        <w:lastRenderedPageBreak/>
        <w:t xml:space="preserve">En ese orden de ideas, de las constancias que obran en los expedientes del SAIMEX, se advierte que </w:t>
      </w:r>
      <w:r w:rsidRPr="00014D23">
        <w:rPr>
          <w:rFonts w:ascii="Palatino Linotype" w:hAnsi="Palatino Linotype"/>
          <w:b/>
        </w:rPr>
        <w:t xml:space="preserve">EL SUJETO OBLIGADO </w:t>
      </w:r>
      <w:r w:rsidRPr="00014D23">
        <w:rPr>
          <w:rFonts w:ascii="Palatino Linotype" w:hAnsi="Palatino Linotype"/>
        </w:rPr>
        <w:t xml:space="preserve">medularmente manifestó que la información se encontraba reservada por encontrarse iniciados procedimientos administrativos resarcitorios y porque aún se encuentra en fiscalización. </w:t>
      </w:r>
    </w:p>
    <w:p w14:paraId="11F6C255" w14:textId="77777777" w:rsidR="00424973" w:rsidRPr="00014D23" w:rsidRDefault="00424973" w:rsidP="00424973">
      <w:pPr>
        <w:spacing w:before="240" w:after="240" w:line="360" w:lineRule="auto"/>
        <w:jc w:val="both"/>
        <w:rPr>
          <w:rFonts w:ascii="Palatino Linotype" w:hAnsi="Palatino Linotype"/>
        </w:rPr>
      </w:pPr>
      <w:r w:rsidRPr="00014D23">
        <w:rPr>
          <w:rFonts w:ascii="Palatino Linotype" w:hAnsi="Palatino Linotype"/>
        </w:rPr>
        <w:t>Inconforme con las respuestas proporcionadas el particular interpuso los recursos de revisión que nos ocupan en los que refirió como acto impugnado y razones o motivos de inconformidad lo expuesto en el Resultando V de la presente resolución.</w:t>
      </w:r>
    </w:p>
    <w:p w14:paraId="3EFF1BA3" w14:textId="471BCFA5" w:rsidR="008A674A" w:rsidRPr="00014D23" w:rsidRDefault="00424973" w:rsidP="00F90ADB">
      <w:pPr>
        <w:spacing w:before="240" w:after="240" w:line="360" w:lineRule="auto"/>
        <w:jc w:val="both"/>
        <w:rPr>
          <w:rFonts w:ascii="Palatino Linotype" w:hAnsi="Palatino Linotype"/>
          <w:b/>
        </w:rPr>
      </w:pPr>
      <w:r w:rsidRPr="00014D23">
        <w:rPr>
          <w:rFonts w:ascii="Palatino Linotype" w:hAnsi="Palatino Linotype"/>
          <w:b/>
        </w:rPr>
        <w:t xml:space="preserve">Finalmente, del proyecto se destaca que EL SUJETO OBLIGADO </w:t>
      </w:r>
      <w:r w:rsidRPr="00014D23">
        <w:rPr>
          <w:rFonts w:ascii="Palatino Linotype" w:hAnsi="Palatino Linotype"/>
        </w:rPr>
        <w:t xml:space="preserve">mediante sus Informes Justificados esencialmente ratificó sus respuestas. Además que la Ponencia que resolvió, </w:t>
      </w:r>
      <w:r w:rsidRPr="00014D23">
        <w:rPr>
          <w:rFonts w:ascii="Palatino Linotype" w:hAnsi="Palatino Linotype" w:cs="Arial"/>
        </w:rPr>
        <w:t xml:space="preserve">con fundamento en lo dispuesto por los artículos 14, fracción III y 16, fracción I del Reglamento </w:t>
      </w:r>
      <w:r w:rsidRPr="00014D23">
        <w:rPr>
          <w:rFonts w:ascii="Palatino Linotype" w:eastAsia="Palatino Linotype" w:hAnsi="Palatino Linotype" w:cs="Palatino Linotype"/>
        </w:rPr>
        <w:t xml:space="preserve">Interior del Instituto de Transparencia, Acceso a la Información Pública y Protección de Datos Personales del Estado de México y Municipios, en relación con los  diversos 182 y 185, fracción V de la Ley de Transparencia y Acceso a la Información Pública del Estado de México y Municipios, llevó a cabo una diligencia para mejor proveer reuniéndose con personal del </w:t>
      </w:r>
      <w:r w:rsidRPr="00014D23">
        <w:rPr>
          <w:rFonts w:ascii="Palatino Linotype" w:eastAsia="Palatino Linotype" w:hAnsi="Palatino Linotype" w:cs="Palatino Linotype"/>
          <w:b/>
        </w:rPr>
        <w:t>SUJETO OBLIGADO</w:t>
      </w:r>
      <w:r w:rsidRPr="00014D23">
        <w:rPr>
          <w:rFonts w:ascii="Palatino Linotype" w:eastAsia="Palatino Linotype" w:hAnsi="Palatino Linotype" w:cs="Palatino Linotype"/>
        </w:rPr>
        <w:t xml:space="preserve">; sin embargo, la postura del </w:t>
      </w:r>
      <w:r w:rsidRPr="00014D23">
        <w:rPr>
          <w:rFonts w:ascii="Palatino Linotype" w:eastAsia="Palatino Linotype" w:hAnsi="Palatino Linotype" w:cs="Palatino Linotype"/>
          <w:b/>
        </w:rPr>
        <w:t xml:space="preserve">SUJETO OBLIGADO </w:t>
      </w:r>
      <w:r w:rsidRPr="00014D23">
        <w:rPr>
          <w:rFonts w:ascii="Palatino Linotype" w:eastAsia="Palatino Linotype" w:hAnsi="Palatino Linotype" w:cs="Palatino Linotype"/>
        </w:rPr>
        <w:t>respecto de la clasificación de la información no cambio.</w:t>
      </w:r>
    </w:p>
    <w:p w14:paraId="10F9CA88" w14:textId="77777777" w:rsidR="00F63F9E" w:rsidRPr="00014D23" w:rsidRDefault="00F63F9E" w:rsidP="00F90ADB">
      <w:pPr>
        <w:spacing w:before="240" w:after="240" w:line="360" w:lineRule="auto"/>
        <w:jc w:val="both"/>
        <w:rPr>
          <w:rFonts w:ascii="Palatino Linotype" w:hAnsi="Palatino Linotype"/>
          <w:b/>
        </w:rPr>
      </w:pPr>
    </w:p>
    <w:p w14:paraId="5CF7AA82" w14:textId="130F3471" w:rsidR="00645549" w:rsidRPr="00014D23" w:rsidRDefault="00483891" w:rsidP="00645549">
      <w:pPr>
        <w:widowControl w:val="0"/>
        <w:autoSpaceDE w:val="0"/>
        <w:autoSpaceDN w:val="0"/>
        <w:adjustRightInd w:val="0"/>
        <w:spacing w:before="240" w:after="240" w:line="360" w:lineRule="auto"/>
        <w:jc w:val="both"/>
        <w:rPr>
          <w:rFonts w:ascii="Palatino Linotype" w:hAnsi="Palatino Linotype" w:cs="Arial"/>
        </w:rPr>
      </w:pPr>
      <w:r w:rsidRPr="00014D23">
        <w:rPr>
          <w:rFonts w:ascii="Palatino Linotype" w:hAnsi="Palatino Linotype" w:cs="Arial"/>
          <w:b/>
        </w:rPr>
        <w:t xml:space="preserve">Así, </w:t>
      </w:r>
      <w:r w:rsidRPr="00014D23">
        <w:rPr>
          <w:rFonts w:ascii="Palatino Linotype" w:hAnsi="Palatino Linotype" w:cs="Arial"/>
        </w:rPr>
        <w:t xml:space="preserve">la Ponencia </w:t>
      </w:r>
      <w:r w:rsidR="00696D4B" w:rsidRPr="00014D23">
        <w:rPr>
          <w:rFonts w:ascii="Palatino Linotype" w:hAnsi="Palatino Linotype" w:cs="Arial"/>
        </w:rPr>
        <w:t>que resuelve</w:t>
      </w:r>
      <w:r w:rsidR="00645549" w:rsidRPr="00014D23">
        <w:rPr>
          <w:rFonts w:ascii="Palatino Linotype" w:hAnsi="Palatino Linotype" w:cs="Arial"/>
        </w:rPr>
        <w:t xml:space="preserve">, </w:t>
      </w:r>
      <w:r w:rsidR="00696D4B" w:rsidRPr="00014D23">
        <w:rPr>
          <w:rFonts w:ascii="Palatino Linotype" w:hAnsi="Palatino Linotype" w:cs="Arial"/>
        </w:rPr>
        <w:t xml:space="preserve">después de entrar al análisis de los requerimientos en relación con las atribuciones que posee el Sujeto Obligado </w:t>
      </w:r>
      <w:r w:rsidR="0031082C" w:rsidRPr="00014D23">
        <w:rPr>
          <w:rFonts w:ascii="Palatino Linotype" w:hAnsi="Palatino Linotype" w:cs="Arial"/>
        </w:rPr>
        <w:t xml:space="preserve">determinó dable </w:t>
      </w:r>
      <w:r w:rsidR="0072183E" w:rsidRPr="00014D23">
        <w:rPr>
          <w:rFonts w:ascii="Palatino Linotype" w:hAnsi="Palatino Linotype" w:cs="Arial"/>
        </w:rPr>
        <w:t>ordenar la entrega</w:t>
      </w:r>
      <w:r w:rsidR="00645549" w:rsidRPr="00014D23">
        <w:rPr>
          <w:rFonts w:ascii="Palatino Linotype" w:hAnsi="Palatino Linotype" w:cs="Arial"/>
        </w:rPr>
        <w:t xml:space="preserve"> </w:t>
      </w:r>
      <w:r w:rsidR="00645549" w:rsidRPr="00014D23">
        <w:rPr>
          <w:rFonts w:ascii="Palatino Linotype" w:hAnsi="Palatino Linotype"/>
        </w:rPr>
        <w:t xml:space="preserve">la versión pública </w:t>
      </w:r>
      <w:r w:rsidR="0072183E" w:rsidRPr="00014D23">
        <w:rPr>
          <w:rFonts w:ascii="Palatino Linotype" w:hAnsi="Palatino Linotype" w:cs="Arial"/>
        </w:rPr>
        <w:t xml:space="preserve"> de:</w:t>
      </w:r>
      <w:r w:rsidR="0031082C" w:rsidRPr="00014D23">
        <w:rPr>
          <w:rFonts w:ascii="Palatino Linotype" w:hAnsi="Palatino Linotype" w:cs="Arial"/>
        </w:rPr>
        <w:t xml:space="preserve"> </w:t>
      </w:r>
      <w:r w:rsidR="00696D4B" w:rsidRPr="00014D23">
        <w:rPr>
          <w:rFonts w:ascii="Palatino Linotype" w:hAnsi="Palatino Linotype" w:cs="Arial"/>
        </w:rPr>
        <w:t xml:space="preserve"> </w:t>
      </w:r>
      <w:r w:rsidR="00645549" w:rsidRPr="00014D23">
        <w:rPr>
          <w:rFonts w:ascii="Palatino Linotype" w:hAnsi="Palatino Linotype"/>
        </w:rPr>
        <w:t xml:space="preserve">a) Los Discos 1, 4 y 5 de los Informes Mensuales de 2016 del Municipio y del Sistema Municipal DIF de </w:t>
      </w:r>
      <w:proofErr w:type="spellStart"/>
      <w:r w:rsidR="00645549" w:rsidRPr="00014D23">
        <w:rPr>
          <w:rFonts w:ascii="Palatino Linotype" w:hAnsi="Palatino Linotype"/>
        </w:rPr>
        <w:t>Coyotepec</w:t>
      </w:r>
      <w:proofErr w:type="spellEnd"/>
      <w:r w:rsidR="00645549" w:rsidRPr="00014D23">
        <w:rPr>
          <w:rFonts w:ascii="Palatino Linotype" w:hAnsi="Palatino Linotype"/>
        </w:rPr>
        <w:t xml:space="preserve">; b) Los Discos del 1 al 8 de los Informes Mensuales de </w:t>
      </w:r>
      <w:r w:rsidR="00645549" w:rsidRPr="00014D23">
        <w:rPr>
          <w:rFonts w:ascii="Palatino Linotype" w:hAnsi="Palatino Linotype"/>
        </w:rPr>
        <w:lastRenderedPageBreak/>
        <w:t xml:space="preserve">2017 del Municipio de </w:t>
      </w:r>
      <w:proofErr w:type="spellStart"/>
      <w:r w:rsidR="00645549" w:rsidRPr="00014D23">
        <w:rPr>
          <w:rFonts w:ascii="Palatino Linotype" w:hAnsi="Palatino Linotype"/>
        </w:rPr>
        <w:t>Coyotepec</w:t>
      </w:r>
      <w:proofErr w:type="spellEnd"/>
      <w:r w:rsidR="00645549" w:rsidRPr="00014D23">
        <w:rPr>
          <w:rFonts w:ascii="Palatino Linotype" w:hAnsi="Palatino Linotype"/>
        </w:rPr>
        <w:t xml:space="preserve">; c) Los Discos 1, 2, 4, 5, 6 y 7 de los Informes Mensuales de 2017 del Sistema Municipal para el Desarrollo Integral de la Familia de </w:t>
      </w:r>
      <w:proofErr w:type="spellStart"/>
      <w:r w:rsidR="00645549" w:rsidRPr="00014D23">
        <w:rPr>
          <w:rFonts w:ascii="Palatino Linotype" w:hAnsi="Palatino Linotype"/>
        </w:rPr>
        <w:t>Coyotepec</w:t>
      </w:r>
      <w:proofErr w:type="spellEnd"/>
      <w:r w:rsidR="00645549" w:rsidRPr="00014D23">
        <w:rPr>
          <w:rFonts w:ascii="Palatino Linotype" w:hAnsi="Palatino Linotype"/>
        </w:rPr>
        <w:t>.</w:t>
      </w:r>
    </w:p>
    <w:p w14:paraId="2E8AE24E" w14:textId="77777777" w:rsidR="00645549" w:rsidRPr="00014D23" w:rsidRDefault="00645549" w:rsidP="00645549">
      <w:pPr>
        <w:pStyle w:val="Sinespaciado"/>
        <w:ind w:right="899"/>
        <w:jc w:val="both"/>
        <w:rPr>
          <w:rFonts w:ascii="Palatino Linotype" w:hAnsi="Palatino Linotype"/>
          <w:i/>
          <w:color w:val="FF0000"/>
        </w:rPr>
      </w:pPr>
    </w:p>
    <w:p w14:paraId="76A7F813" w14:textId="6FA6D3D7" w:rsidR="00645549" w:rsidRPr="00014D23" w:rsidRDefault="00645549" w:rsidP="007C75AE">
      <w:pPr>
        <w:pStyle w:val="Sinespaciado"/>
        <w:spacing w:line="360" w:lineRule="auto"/>
        <w:ind w:right="49"/>
        <w:jc w:val="both"/>
        <w:rPr>
          <w:rFonts w:ascii="Palatino Linotype" w:hAnsi="Palatino Linotype"/>
        </w:rPr>
      </w:pPr>
      <w:r w:rsidRPr="00014D23">
        <w:rPr>
          <w:rFonts w:ascii="Palatino Linotype" w:hAnsi="Palatino Linotype"/>
        </w:rPr>
        <w:t>Además de,  el Acuerdo de</w:t>
      </w:r>
      <w:r w:rsidRPr="00014D23">
        <w:rPr>
          <w:rFonts w:ascii="Palatino Linotype" w:hAnsi="Palatino Linotype" w:cs="Arial"/>
        </w:rPr>
        <w:t xml:space="preserve"> Clasificación de los Discos del 1 al 8 </w:t>
      </w:r>
      <w:r w:rsidRPr="00014D23">
        <w:rPr>
          <w:rFonts w:ascii="Palatino Linotype" w:hAnsi="Palatino Linotype"/>
        </w:rPr>
        <w:t xml:space="preserve">de los Informes Mensuales de 2018 del Municipio y del 1, 2, 4, 5, 6 y 7 del Sistema Municipal para el Desarrollo Integral de la Familia de </w:t>
      </w:r>
      <w:proofErr w:type="spellStart"/>
      <w:r w:rsidRPr="00014D23">
        <w:rPr>
          <w:rFonts w:ascii="Palatino Linotype" w:hAnsi="Palatino Linotype"/>
        </w:rPr>
        <w:t>Coyotepec</w:t>
      </w:r>
      <w:proofErr w:type="spellEnd"/>
      <w:r w:rsidRPr="00014D23">
        <w:rPr>
          <w:rFonts w:ascii="Palatino Linotype" w:hAnsi="Palatino Linotype"/>
        </w:rPr>
        <w:t xml:space="preserve">, </w:t>
      </w:r>
      <w:r w:rsidRPr="00014D23">
        <w:rPr>
          <w:rFonts w:ascii="Palatino Linotype" w:hAnsi="Palatino Linotype" w:cs="Arial"/>
        </w:rPr>
        <w:t xml:space="preserve">de conformidad en el artículo 140 de la Ley de Transparencia y Acceso a la Información Pública del Estado de México y Municipios y en términos de los artículos 49, fracción VIII, 129 y 141 de la Ley de Transparencia y Acceso a la Información Pública del Estado de México y Municipios, en el que funde y motive las razones de dicha clasificación. </w:t>
      </w:r>
    </w:p>
    <w:p w14:paraId="40721FC6" w14:textId="14E90A23" w:rsidR="007C75AE" w:rsidRPr="00014D23" w:rsidRDefault="007601E4" w:rsidP="007C75AE">
      <w:pPr>
        <w:spacing w:before="240" w:after="240" w:line="360" w:lineRule="auto"/>
        <w:jc w:val="both"/>
        <w:rPr>
          <w:rFonts w:ascii="Palatino Linotype" w:hAnsi="Palatino Linotype" w:cs="Arial"/>
        </w:rPr>
      </w:pPr>
      <w:r w:rsidRPr="00014D23">
        <w:rPr>
          <w:rFonts w:ascii="Palatino Linotype" w:hAnsi="Palatino Linotype"/>
          <w:b/>
        </w:rPr>
        <w:t xml:space="preserve">Como ya se mencionó, se coincide </w:t>
      </w:r>
      <w:r w:rsidR="007C75AE" w:rsidRPr="00014D23">
        <w:rPr>
          <w:rFonts w:ascii="Palatino Linotype" w:hAnsi="Palatino Linotype"/>
          <w:b/>
        </w:rPr>
        <w:t xml:space="preserve">en su mayoría con el argumento vertido por la comisionada que estuvo a cargo de la resolución; así como, la forma en la que fueron desahogados los puntos controvertidos en el presente asunto. Sin embargo, a criterio </w:t>
      </w:r>
      <w:r w:rsidR="000F1847" w:rsidRPr="00014D23">
        <w:rPr>
          <w:rFonts w:ascii="Palatino Linotype" w:hAnsi="Palatino Linotype"/>
          <w:b/>
        </w:rPr>
        <w:t>d</w:t>
      </w:r>
      <w:r w:rsidR="007C75AE" w:rsidRPr="00014D23">
        <w:rPr>
          <w:rFonts w:ascii="Palatino Linotype" w:hAnsi="Palatino Linotype"/>
          <w:b/>
        </w:rPr>
        <w:t xml:space="preserve">el que suscribe  </w:t>
      </w:r>
      <w:r w:rsidR="007C75AE" w:rsidRPr="00014D23">
        <w:rPr>
          <w:rFonts w:ascii="Palatino Linotype" w:hAnsi="Palatino Linotype" w:cs="Arial"/>
          <w:b/>
        </w:rPr>
        <w:t>n</w:t>
      </w:r>
      <w:r w:rsidR="000F1847" w:rsidRPr="00014D23">
        <w:rPr>
          <w:rFonts w:ascii="Palatino Linotype" w:hAnsi="Palatino Linotype" w:cs="Arial"/>
          <w:b/>
        </w:rPr>
        <w:t xml:space="preserve">o se coincide con </w:t>
      </w:r>
      <w:r w:rsidR="007C75AE" w:rsidRPr="00014D23">
        <w:rPr>
          <w:rFonts w:ascii="Palatino Linotype" w:hAnsi="Palatino Linotype" w:cs="Arial"/>
          <w:b/>
        </w:rPr>
        <w:t xml:space="preserve"> acepar la reserva para la información relativa a los discos 1al 8 del año 2018, del Municipio de </w:t>
      </w:r>
      <w:proofErr w:type="spellStart"/>
      <w:r w:rsidR="007C75AE" w:rsidRPr="00014D23">
        <w:rPr>
          <w:rFonts w:ascii="Palatino Linotype" w:hAnsi="Palatino Linotype" w:cs="Arial"/>
          <w:b/>
        </w:rPr>
        <w:t>Coyotepec</w:t>
      </w:r>
      <w:proofErr w:type="spellEnd"/>
      <w:r w:rsidR="007C75AE" w:rsidRPr="00014D23">
        <w:rPr>
          <w:rFonts w:ascii="Palatino Linotype" w:hAnsi="Palatino Linotype" w:cs="Arial"/>
          <w:b/>
        </w:rPr>
        <w:t xml:space="preserve"> y la reserva de los discos del 1 al 8 del Sistema para el Desarrollo Integral de la Familia de </w:t>
      </w:r>
      <w:proofErr w:type="spellStart"/>
      <w:r w:rsidR="007C75AE" w:rsidRPr="00014D23">
        <w:rPr>
          <w:rFonts w:ascii="Palatino Linotype" w:hAnsi="Palatino Linotype" w:cs="Arial"/>
          <w:b/>
        </w:rPr>
        <w:t>Coyotepec</w:t>
      </w:r>
      <w:proofErr w:type="spellEnd"/>
      <w:r w:rsidR="007C75AE" w:rsidRPr="00014D23">
        <w:rPr>
          <w:rFonts w:ascii="Palatino Linotype" w:hAnsi="Palatino Linotype" w:cs="Arial"/>
          <w:b/>
        </w:rPr>
        <w:t xml:space="preserve">, puesto que </w:t>
      </w:r>
      <w:r w:rsidR="00A51A82" w:rsidRPr="00014D23">
        <w:rPr>
          <w:rFonts w:ascii="Palatino Linotype" w:hAnsi="Palatino Linotype" w:cs="Arial"/>
          <w:b/>
        </w:rPr>
        <w:t xml:space="preserve">EL SUJETO OBLIGADO </w:t>
      </w:r>
      <w:r w:rsidR="007C75AE" w:rsidRPr="00014D23">
        <w:rPr>
          <w:rFonts w:ascii="Palatino Linotype" w:hAnsi="Palatino Linotype" w:cs="Arial"/>
          <w:b/>
        </w:rPr>
        <w:t>para justificar la reserva, alude a los artículos 5 y 50 de la Ley de Fiscalización del Estado de México</w:t>
      </w:r>
      <w:r w:rsidR="007C75AE" w:rsidRPr="00014D23">
        <w:rPr>
          <w:rFonts w:ascii="Palatino Linotype" w:hAnsi="Palatino Linotype" w:cs="Arial"/>
        </w:rPr>
        <w:t>,</w:t>
      </w:r>
      <w:r w:rsidR="0070521E" w:rsidRPr="00014D23">
        <w:rPr>
          <w:rFonts w:ascii="Palatino Linotype" w:hAnsi="Palatino Linotype" w:cs="Arial"/>
        </w:rPr>
        <w:t xml:space="preserve"> numerales que en términos del siguiente análisis hacen referencia </w:t>
      </w:r>
      <w:r w:rsidR="009D1FCB" w:rsidRPr="00014D23">
        <w:rPr>
          <w:rFonts w:ascii="Palatino Linotype" w:hAnsi="Palatino Linotype" w:cs="Arial"/>
        </w:rPr>
        <w:t xml:space="preserve">a información relacionada con la cuenta públicas, la cual dista de la información que es del interés del particular, tal y como a continuación procedo a demostrar: </w:t>
      </w:r>
    </w:p>
    <w:p w14:paraId="2950AE2E" w14:textId="77777777" w:rsidR="0070521E" w:rsidRPr="00014D23" w:rsidRDefault="0070521E" w:rsidP="007C75AE">
      <w:pPr>
        <w:spacing w:before="240" w:after="240" w:line="360" w:lineRule="auto"/>
        <w:jc w:val="both"/>
        <w:rPr>
          <w:rFonts w:ascii="Palatino Linotype" w:hAnsi="Palatino Linotype" w:cs="Arial"/>
        </w:rPr>
      </w:pPr>
    </w:p>
    <w:p w14:paraId="305F4D45" w14:textId="70E22431" w:rsidR="0070521E" w:rsidRPr="00014D23" w:rsidRDefault="009D1FCB" w:rsidP="007C75AE">
      <w:pPr>
        <w:spacing w:before="240" w:after="240" w:line="360" w:lineRule="auto"/>
        <w:jc w:val="both"/>
        <w:rPr>
          <w:rFonts w:ascii="Palatino Linotype" w:hAnsi="Palatino Linotype" w:cs="Arial"/>
        </w:rPr>
      </w:pPr>
      <w:r w:rsidRPr="00014D23">
        <w:rPr>
          <w:rFonts w:ascii="Palatino Linotype" w:hAnsi="Palatino Linotype"/>
        </w:rPr>
        <w:lastRenderedPageBreak/>
        <w:t xml:space="preserve">Primero, </w:t>
      </w:r>
      <w:r w:rsidRPr="00014D23">
        <w:rPr>
          <w:rFonts w:ascii="Palatino Linotype" w:hAnsi="Palatino Linotype"/>
          <w:b/>
        </w:rPr>
        <w:t>en relación la cuenta pública</w:t>
      </w:r>
      <w:r w:rsidRPr="00014D23">
        <w:rPr>
          <w:rFonts w:ascii="Palatino Linotype" w:hAnsi="Palatino Linotype"/>
        </w:rPr>
        <w:t xml:space="preserve"> los artículos 352, 353 párrafo primero del Código Financiero del Estado de México y Municipios, 2 fracción VIII, 32 párrafo segundo, 35 fracciones I a la VIII, 36, 37, 38, 39, 40, 43, 50 y 51 fracciones I a la VIII de la Ley de Fiscalización Superior del Estado de México, señalan lo siguiente:</w:t>
      </w:r>
    </w:p>
    <w:p w14:paraId="5C0C23AF" w14:textId="04B1ACB3" w:rsidR="009D1FCB" w:rsidRPr="00014D23" w:rsidRDefault="009D1FCB" w:rsidP="004B380D">
      <w:pPr>
        <w:pStyle w:val="Prrafodelista"/>
        <w:numPr>
          <w:ilvl w:val="0"/>
          <w:numId w:val="19"/>
        </w:numPr>
        <w:spacing w:line="360" w:lineRule="auto"/>
        <w:jc w:val="both"/>
        <w:rPr>
          <w:rFonts w:ascii="Palatino Linotype" w:hAnsi="Palatino Linotype"/>
          <w:sz w:val="24"/>
          <w:szCs w:val="24"/>
        </w:rPr>
      </w:pPr>
      <w:r w:rsidRPr="00014D23">
        <w:rPr>
          <w:rFonts w:ascii="Palatino Linotype" w:hAnsi="Palatino Linotype"/>
          <w:sz w:val="24"/>
          <w:szCs w:val="24"/>
        </w:rPr>
        <w:t>Que la cuenta pública consiste en el informe anual que el Gobernador y los Presidentes Municipales presentan a la Legislatura por conducto del Órgano Superior de Fiscalización del Estado de México, respecto de los resultados y la situación financiera del ejercicio fiscal inmediato anterior;</w:t>
      </w:r>
    </w:p>
    <w:p w14:paraId="2F3B0042" w14:textId="77777777" w:rsidR="009D1FCB" w:rsidRPr="00014D23" w:rsidRDefault="009D1FCB" w:rsidP="009D1FCB">
      <w:pPr>
        <w:pStyle w:val="Prrafodelista"/>
        <w:spacing w:before="240" w:after="240" w:line="360" w:lineRule="auto"/>
        <w:jc w:val="both"/>
        <w:rPr>
          <w:rFonts w:ascii="Palatino Linotype" w:hAnsi="Palatino Linotype" w:cs="Arial"/>
          <w:sz w:val="24"/>
          <w:szCs w:val="24"/>
        </w:rPr>
      </w:pPr>
    </w:p>
    <w:p w14:paraId="3BC37AAB" w14:textId="39A094C7" w:rsidR="009D1FCB" w:rsidRPr="00014D23" w:rsidRDefault="009D1FCB" w:rsidP="009D1FCB">
      <w:pPr>
        <w:pStyle w:val="Prrafodelista"/>
        <w:numPr>
          <w:ilvl w:val="0"/>
          <w:numId w:val="18"/>
        </w:numPr>
        <w:spacing w:before="240" w:after="240" w:line="360" w:lineRule="auto"/>
        <w:jc w:val="both"/>
        <w:rPr>
          <w:rFonts w:ascii="Palatino Linotype" w:hAnsi="Palatino Linotype" w:cs="Arial"/>
          <w:sz w:val="24"/>
          <w:szCs w:val="24"/>
        </w:rPr>
      </w:pPr>
      <w:r w:rsidRPr="00014D23">
        <w:rPr>
          <w:rFonts w:ascii="Palatino Linotype" w:hAnsi="Palatino Linotype"/>
          <w:sz w:val="24"/>
          <w:szCs w:val="24"/>
        </w:rPr>
        <w:t>Que la cuenta pública se constituye con la información económica, contable, presupuestal, programática, cualitativa y cuantitativa, que muestre los resultados de la ejecución de la Ley de Ingresos, así como el correspondiente Presupuesto de Egresos;</w:t>
      </w:r>
    </w:p>
    <w:p w14:paraId="4F4A0418" w14:textId="77777777" w:rsidR="009D1FCB" w:rsidRPr="00014D23" w:rsidRDefault="009D1FCB" w:rsidP="009D1FCB">
      <w:pPr>
        <w:pStyle w:val="Prrafodelista"/>
        <w:rPr>
          <w:rFonts w:ascii="Palatino Linotype" w:hAnsi="Palatino Linotype" w:cs="Arial"/>
          <w:sz w:val="24"/>
          <w:szCs w:val="24"/>
        </w:rPr>
      </w:pPr>
    </w:p>
    <w:p w14:paraId="15AAAA0A" w14:textId="00E8309D" w:rsidR="009D1FCB" w:rsidRPr="00014D23" w:rsidRDefault="009D1FCB" w:rsidP="009D1FCB">
      <w:pPr>
        <w:pStyle w:val="Prrafodelista"/>
        <w:numPr>
          <w:ilvl w:val="0"/>
          <w:numId w:val="18"/>
        </w:numPr>
        <w:spacing w:before="240" w:after="240" w:line="360" w:lineRule="auto"/>
        <w:jc w:val="both"/>
        <w:rPr>
          <w:rFonts w:ascii="Palatino Linotype" w:hAnsi="Palatino Linotype" w:cs="Arial"/>
          <w:sz w:val="24"/>
          <w:szCs w:val="24"/>
        </w:rPr>
      </w:pPr>
      <w:r w:rsidRPr="00014D23">
        <w:rPr>
          <w:rFonts w:ascii="Palatino Linotype" w:hAnsi="Palatino Linotype"/>
          <w:sz w:val="24"/>
          <w:szCs w:val="24"/>
        </w:rPr>
        <w:t>Que es deber de los Presidentes Municipales en sus respectivas jurisdicciones, presentar a la Legislatura a través del Órgano Superior de Fiscalización del Estado de México, las cuentas públicas anuales correspondientes al ejercicio fiscal inmediato anterior, dentro de los quince primeros días del mes de marzo de cada año;</w:t>
      </w:r>
    </w:p>
    <w:p w14:paraId="247693EE" w14:textId="77777777" w:rsidR="009D1FCB" w:rsidRPr="00014D23" w:rsidRDefault="009D1FCB" w:rsidP="009D1FCB">
      <w:pPr>
        <w:pStyle w:val="Prrafodelista"/>
        <w:rPr>
          <w:rFonts w:ascii="Palatino Linotype" w:hAnsi="Palatino Linotype" w:cs="Arial"/>
          <w:sz w:val="24"/>
          <w:szCs w:val="24"/>
        </w:rPr>
      </w:pPr>
    </w:p>
    <w:p w14:paraId="293D01B0" w14:textId="0EBD0B3D" w:rsidR="009D1FCB" w:rsidRPr="00014D23" w:rsidRDefault="009D1FCB" w:rsidP="009D1FCB">
      <w:pPr>
        <w:pStyle w:val="Prrafodelista"/>
        <w:numPr>
          <w:ilvl w:val="0"/>
          <w:numId w:val="18"/>
        </w:numPr>
        <w:spacing w:before="240" w:after="240" w:line="360" w:lineRule="auto"/>
        <w:jc w:val="both"/>
        <w:rPr>
          <w:rFonts w:ascii="Palatino Linotype" w:hAnsi="Palatino Linotype" w:cs="Arial"/>
          <w:sz w:val="24"/>
          <w:szCs w:val="24"/>
        </w:rPr>
      </w:pPr>
      <w:r w:rsidRPr="00014D23">
        <w:rPr>
          <w:rFonts w:ascii="Palatino Linotype" w:hAnsi="Palatino Linotype"/>
          <w:sz w:val="24"/>
          <w:szCs w:val="24"/>
        </w:rPr>
        <w:t xml:space="preserve">Que la cuenta pública presentada, se encuentra sujeta a un procedimiento de revisión por parte del Órgano Superior de Fiscalización del Estado de México, en el que es permisible ordenar la práctica de visitas, auditorias e inspecciones de los conceptos reportados, la elaboración y notificación de pliegos de observaciones, y en su caso, la </w:t>
      </w:r>
      <w:r w:rsidRPr="00014D23">
        <w:rPr>
          <w:rFonts w:ascii="Palatino Linotype" w:hAnsi="Palatino Linotype"/>
          <w:sz w:val="24"/>
          <w:szCs w:val="24"/>
        </w:rPr>
        <w:lastRenderedPageBreak/>
        <w:t>recepción y análisis de los comentarios formulados a ese respecto por la entidad fiscalizada;</w:t>
      </w:r>
    </w:p>
    <w:p w14:paraId="48EF143B" w14:textId="77777777" w:rsidR="009D1FCB" w:rsidRPr="00014D23" w:rsidRDefault="009D1FCB" w:rsidP="009D1FCB">
      <w:pPr>
        <w:pStyle w:val="Prrafodelista"/>
        <w:rPr>
          <w:rFonts w:ascii="Palatino Linotype" w:hAnsi="Palatino Linotype" w:cs="Arial"/>
          <w:sz w:val="24"/>
          <w:szCs w:val="24"/>
        </w:rPr>
      </w:pPr>
    </w:p>
    <w:p w14:paraId="23713446" w14:textId="18B0F327" w:rsidR="009D1FCB" w:rsidRPr="00014D23" w:rsidRDefault="009D1FCB" w:rsidP="009D1FCB">
      <w:pPr>
        <w:pStyle w:val="Prrafodelista"/>
        <w:numPr>
          <w:ilvl w:val="0"/>
          <w:numId w:val="18"/>
        </w:numPr>
        <w:spacing w:before="240" w:after="240" w:line="360" w:lineRule="auto"/>
        <w:jc w:val="both"/>
        <w:rPr>
          <w:rFonts w:ascii="Palatino Linotype" w:hAnsi="Palatino Linotype" w:cs="Arial"/>
          <w:sz w:val="24"/>
          <w:szCs w:val="24"/>
        </w:rPr>
      </w:pPr>
      <w:r w:rsidRPr="00014D23">
        <w:rPr>
          <w:rFonts w:ascii="Palatino Linotype" w:hAnsi="Palatino Linotype"/>
          <w:sz w:val="24"/>
          <w:szCs w:val="24"/>
        </w:rPr>
        <w:t>Que agotado el procedimiento de revisión respectivo, el Órgano Superior de Fiscalización del Estado de México, dispone de un plazo improrrogable que vence el treinta de septiembre del año en que se entreguen las cuentas públicas, para realizar su examen y rendir a la Legislatura por conducto de la Comisión, el correspondiente informe de resultados; y</w:t>
      </w:r>
    </w:p>
    <w:p w14:paraId="1B7D31B5" w14:textId="77777777" w:rsidR="004B380D" w:rsidRPr="00014D23" w:rsidRDefault="004B380D" w:rsidP="007C75AE">
      <w:pPr>
        <w:spacing w:before="240" w:after="240" w:line="360" w:lineRule="auto"/>
        <w:jc w:val="both"/>
        <w:rPr>
          <w:rFonts w:ascii="Palatino Linotype" w:hAnsi="Palatino Linotype" w:cs="Arial"/>
        </w:rPr>
      </w:pPr>
    </w:p>
    <w:p w14:paraId="780C32EA" w14:textId="698036DF" w:rsidR="004B380D" w:rsidRPr="00014D23" w:rsidRDefault="004B380D" w:rsidP="007C75AE">
      <w:pPr>
        <w:spacing w:before="240" w:after="240" w:line="360" w:lineRule="auto"/>
        <w:jc w:val="both"/>
        <w:rPr>
          <w:rFonts w:ascii="Palatino Linotype" w:hAnsi="Palatino Linotype"/>
        </w:rPr>
      </w:pPr>
      <w:r w:rsidRPr="00014D23">
        <w:rPr>
          <w:rFonts w:ascii="Palatino Linotype" w:hAnsi="Palatino Linotype" w:cs="Arial"/>
        </w:rPr>
        <w:t xml:space="preserve">Por otra parte, en relación a lo que son los  </w:t>
      </w:r>
      <w:r w:rsidRPr="00014D23">
        <w:rPr>
          <w:rFonts w:ascii="Palatino Linotype" w:hAnsi="Palatino Linotype" w:cs="Arial"/>
          <w:b/>
        </w:rPr>
        <w:t>informes mensuales</w:t>
      </w:r>
      <w:r w:rsidRPr="00014D23">
        <w:rPr>
          <w:rFonts w:ascii="Palatino Linotype" w:hAnsi="Palatino Linotype" w:cs="Arial"/>
        </w:rPr>
        <w:t xml:space="preserve"> </w:t>
      </w:r>
      <w:r w:rsidR="00BD4421" w:rsidRPr="00014D23">
        <w:rPr>
          <w:rFonts w:ascii="Palatino Linotype" w:hAnsi="Palatino Linotype" w:cs="Arial"/>
        </w:rPr>
        <w:t xml:space="preserve"> el artículo </w:t>
      </w:r>
      <w:r w:rsidRPr="00014D23">
        <w:rPr>
          <w:rFonts w:ascii="Palatino Linotype" w:hAnsi="Palatino Linotype" w:cs="Arial"/>
        </w:rPr>
        <w:t xml:space="preserve"> 350, del Código Financiero del Estado de México y Municipios, </w:t>
      </w:r>
      <w:r w:rsidRPr="00014D23">
        <w:rPr>
          <w:rFonts w:ascii="Palatino Linotype" w:hAnsi="Palatino Linotype"/>
        </w:rPr>
        <w:t>establecen el deber del SUJETO OBLIGADO, de enviar mensualmente dentro de los primeros veinte días hábiles, al Órgano Superior de Fiscalización de esta entidad federativa, la información: patrimonial, presupuestal, obra pública y de nómina, para su análisis y evaluación.</w:t>
      </w:r>
    </w:p>
    <w:p w14:paraId="76C60371" w14:textId="5BDECC60" w:rsidR="00BD4421" w:rsidRPr="00014D23" w:rsidRDefault="00BD4421" w:rsidP="007C75AE">
      <w:pPr>
        <w:spacing w:before="240" w:after="240" w:line="360" w:lineRule="auto"/>
        <w:jc w:val="both"/>
        <w:rPr>
          <w:rFonts w:ascii="Palatino Linotype" w:hAnsi="Palatino Linotype"/>
        </w:rPr>
      </w:pPr>
      <w:r w:rsidRPr="00014D23">
        <w:rPr>
          <w:rFonts w:ascii="Palatino Linotype" w:hAnsi="Palatino Linotype"/>
        </w:rPr>
        <w:t>En esta lógica, es conveniente señalar que el informe mensual consiste en el documento que mensualmente envían para su análisis al Órgano Superior de Fiscalización de la Legislatura, las Tesorerías Municipales y la Secretaría de Finanzas, Planeación y Administración, en términos de lo dispuesto por la fracción XI, del artículo 2, así como los diversos 32, 48 y 49, de la Ley de Fiscalización Superior del Estado de México.</w:t>
      </w:r>
    </w:p>
    <w:p w14:paraId="13FA8A8E" w14:textId="77777777" w:rsidR="00BD4421" w:rsidRPr="00014D23" w:rsidRDefault="00BD4421" w:rsidP="007C75AE">
      <w:pPr>
        <w:spacing w:before="240" w:after="240" w:line="360" w:lineRule="auto"/>
        <w:jc w:val="both"/>
        <w:rPr>
          <w:rFonts w:ascii="Palatino Linotype" w:hAnsi="Palatino Linotype" w:cs="Arial"/>
        </w:rPr>
      </w:pPr>
    </w:p>
    <w:p w14:paraId="2AF2F747" w14:textId="6E748247" w:rsidR="0070521E" w:rsidRPr="00014D23" w:rsidRDefault="004B380D" w:rsidP="007C75AE">
      <w:pPr>
        <w:spacing w:before="240" w:after="240" w:line="360" w:lineRule="auto"/>
        <w:jc w:val="both"/>
        <w:rPr>
          <w:rFonts w:ascii="Palatino Linotype" w:hAnsi="Palatino Linotype" w:cs="Arial"/>
        </w:rPr>
      </w:pPr>
      <w:r w:rsidRPr="00014D23">
        <w:rPr>
          <w:rFonts w:ascii="Palatino Linotype" w:hAnsi="Palatino Linotype" w:cs="Arial"/>
          <w:b/>
        </w:rPr>
        <w:lastRenderedPageBreak/>
        <w:t>Ahora bien</w:t>
      </w:r>
      <w:r w:rsidR="009D1FCB" w:rsidRPr="00014D23">
        <w:rPr>
          <w:rFonts w:ascii="Palatino Linotype" w:hAnsi="Palatino Linotype" w:cs="Arial"/>
          <w:b/>
        </w:rPr>
        <w:t xml:space="preserve">, de manera literal los dispositivos que argumenta </w:t>
      </w:r>
      <w:r w:rsidRPr="00014D23">
        <w:rPr>
          <w:rFonts w:ascii="Palatino Linotype" w:hAnsi="Palatino Linotype" w:cs="Arial"/>
          <w:b/>
        </w:rPr>
        <w:t xml:space="preserve">EL SUJETO OBLIGADO </w:t>
      </w:r>
      <w:r w:rsidR="009D1FCB" w:rsidRPr="00014D23">
        <w:rPr>
          <w:rFonts w:ascii="Palatino Linotype" w:hAnsi="Palatino Linotype" w:cs="Arial"/>
          <w:b/>
        </w:rPr>
        <w:t>se actualizan, precisan a  la literalidad, lo siguiente</w:t>
      </w:r>
      <w:r w:rsidR="009D1FCB" w:rsidRPr="00014D23">
        <w:rPr>
          <w:rFonts w:ascii="Palatino Linotype" w:hAnsi="Palatino Linotype" w:cs="Arial"/>
        </w:rPr>
        <w:t xml:space="preserve">: </w:t>
      </w:r>
    </w:p>
    <w:p w14:paraId="18FDCBDF" w14:textId="77777777" w:rsidR="003A0D65" w:rsidRPr="00014D23" w:rsidRDefault="003A0D65" w:rsidP="003A0D65">
      <w:pPr>
        <w:ind w:left="993" w:right="1041"/>
        <w:jc w:val="both"/>
        <w:rPr>
          <w:rFonts w:ascii="Palatino Linotype" w:hAnsi="Palatino Linotype"/>
          <w:i/>
        </w:rPr>
      </w:pPr>
      <w:r w:rsidRPr="00014D23">
        <w:rPr>
          <w:rFonts w:ascii="Palatino Linotype" w:hAnsi="Palatino Linotype" w:cs="Arial"/>
          <w:i/>
        </w:rPr>
        <w:t>“</w:t>
      </w:r>
      <w:r w:rsidRPr="00014D23">
        <w:rPr>
          <w:rFonts w:ascii="Palatino Linotype" w:hAnsi="Palatino Linotype"/>
          <w:i/>
        </w:rPr>
        <w:t>Artículo 5. La fiscalización superior se podrá realizar de manera contemporánea a la ejecución de actos de gobierno y la aplicación de recursos públicos en los casos que corresponda, así como de manera posterior al término de cada ejercicio fiscal y a la presentación de las cuentas públicas, de manera externa, independiente y autónoma de cualquier forma de control y evaluación internos de las entidades fiscalizables y de conformidad con lo establecido en la presente Ley.”</w:t>
      </w:r>
    </w:p>
    <w:p w14:paraId="13BCA2DC" w14:textId="77777777" w:rsidR="003A0D65" w:rsidRPr="00014D23" w:rsidRDefault="003A0D65" w:rsidP="000F1847">
      <w:pPr>
        <w:ind w:right="1041"/>
        <w:jc w:val="both"/>
        <w:rPr>
          <w:rFonts w:ascii="Palatino Linotype" w:hAnsi="Palatino Linotype" w:cs="Arial"/>
          <w:i/>
        </w:rPr>
      </w:pPr>
    </w:p>
    <w:p w14:paraId="46C09A9A" w14:textId="77777777" w:rsidR="003A0D65" w:rsidRPr="00014D23" w:rsidRDefault="003A0D65" w:rsidP="003A0D65">
      <w:pPr>
        <w:ind w:left="993" w:right="1041"/>
        <w:jc w:val="both"/>
        <w:rPr>
          <w:rFonts w:ascii="Palatino Linotype" w:hAnsi="Palatino Linotype"/>
          <w:i/>
        </w:rPr>
      </w:pPr>
      <w:r w:rsidRPr="00014D23">
        <w:rPr>
          <w:rFonts w:ascii="Palatino Linotype" w:hAnsi="Palatino Linotype"/>
          <w:i/>
        </w:rPr>
        <w:t xml:space="preserve">“Artículo 50.- </w:t>
      </w:r>
      <w:r w:rsidRPr="00014D23">
        <w:rPr>
          <w:rFonts w:ascii="Palatino Linotype" w:hAnsi="Palatino Linotype"/>
          <w:b/>
          <w:i/>
          <w:u w:val="single"/>
        </w:rPr>
        <w:t>El Órgano Superior tendrá un plazo improrrogable que vence el 30 de septiembre del año en que se entreguen las cuentas públicas, para</w:t>
      </w:r>
      <w:r w:rsidRPr="00014D23">
        <w:rPr>
          <w:rFonts w:ascii="Palatino Linotype" w:hAnsi="Palatino Linotype"/>
          <w:b/>
          <w:i/>
        </w:rPr>
        <w:t xml:space="preserve"> realizar su examen, presentar ante la Comisión de Vigilancia del Órgano Superior de Fiscalización, transparentar sus resultados y </w:t>
      </w:r>
      <w:r w:rsidRPr="00014D23">
        <w:rPr>
          <w:rFonts w:ascii="Palatino Linotype" w:hAnsi="Palatino Linotype"/>
          <w:b/>
          <w:i/>
          <w:u w:val="single"/>
        </w:rPr>
        <w:t>rendir a la Legislatura,</w:t>
      </w:r>
      <w:r w:rsidRPr="00014D23">
        <w:rPr>
          <w:rFonts w:ascii="Palatino Linotype" w:hAnsi="Palatino Linotype"/>
          <w:b/>
          <w:i/>
        </w:rPr>
        <w:t xml:space="preserve"> por conducto de la Comisión de Vigilancia, </w:t>
      </w:r>
      <w:r w:rsidRPr="00014D23">
        <w:rPr>
          <w:rFonts w:ascii="Palatino Linotype" w:hAnsi="Palatino Linotype"/>
          <w:b/>
          <w:i/>
          <w:u w:val="single"/>
        </w:rPr>
        <w:t>el correspondiente Informe de Resultados</w:t>
      </w:r>
      <w:r w:rsidRPr="00014D23">
        <w:rPr>
          <w:rFonts w:ascii="Palatino Linotype" w:hAnsi="Palatino Linotype"/>
          <w:i/>
        </w:rPr>
        <w:t xml:space="preserve">, </w:t>
      </w:r>
      <w:r w:rsidRPr="00014D23">
        <w:rPr>
          <w:rFonts w:ascii="Palatino Linotype" w:hAnsi="Palatino Linotype"/>
          <w:b/>
          <w:i/>
          <w:u w:val="single"/>
        </w:rPr>
        <w:t>mismo que tendrá inmediatamente después a su entrega, el carácter público</w:t>
      </w:r>
      <w:r w:rsidRPr="00014D23">
        <w:rPr>
          <w:rFonts w:ascii="Palatino Linotype" w:hAnsi="Palatino Linotype"/>
          <w:i/>
        </w:rPr>
        <w:t xml:space="preserve"> y, en consecuencia, deberá ser publicado en medios electrónicos de manera inmediatamente posterior a la entrega que haga el Órgano Superior a la Comisión de Vigilancia; </w:t>
      </w:r>
      <w:r w:rsidRPr="00014D23">
        <w:rPr>
          <w:rFonts w:ascii="Palatino Linotype" w:hAnsi="Palatino Linotype"/>
          <w:b/>
          <w:i/>
        </w:rPr>
        <w:t>mientras ello no suceda, el Órgano Superior deberá guardar reserva de sus actuaciones e informaciones</w:t>
      </w:r>
      <w:r w:rsidRPr="00014D23">
        <w:rPr>
          <w:rFonts w:ascii="Palatino Linotype" w:hAnsi="Palatino Linotype"/>
          <w:i/>
        </w:rPr>
        <w:t>.”</w:t>
      </w:r>
    </w:p>
    <w:p w14:paraId="616B1CDC" w14:textId="77777777" w:rsidR="00F8765D" w:rsidRPr="00014D23" w:rsidRDefault="00F8765D" w:rsidP="00F8765D">
      <w:pPr>
        <w:spacing w:line="360" w:lineRule="auto"/>
        <w:jc w:val="both"/>
        <w:rPr>
          <w:rFonts w:ascii="Palatino Linotype" w:hAnsi="Palatino Linotype"/>
          <w:b/>
          <w:u w:val="single"/>
        </w:rPr>
      </w:pPr>
    </w:p>
    <w:p w14:paraId="0B9154B3" w14:textId="5A6C8AC1" w:rsidR="00F8765D" w:rsidRPr="00014D23" w:rsidRDefault="00F8765D" w:rsidP="00F8765D">
      <w:pPr>
        <w:spacing w:line="360" w:lineRule="auto"/>
        <w:jc w:val="both"/>
        <w:rPr>
          <w:rFonts w:ascii="Palatino Linotype" w:hAnsi="Palatino Linotype"/>
        </w:rPr>
      </w:pPr>
      <w:r w:rsidRPr="00014D23">
        <w:rPr>
          <w:rFonts w:ascii="Palatino Linotype" w:hAnsi="Palatino Linotype"/>
          <w:b/>
          <w:u w:val="single"/>
        </w:rPr>
        <w:t xml:space="preserve">De dichos artículos, se puede advertir de manera clara que el informe de resultados del que habla </w:t>
      </w:r>
      <w:r w:rsidR="00A51A82" w:rsidRPr="00014D23">
        <w:rPr>
          <w:rFonts w:ascii="Palatino Linotype" w:hAnsi="Palatino Linotype"/>
          <w:b/>
          <w:u w:val="single"/>
        </w:rPr>
        <w:t xml:space="preserve">EL SUJETO OBLIGADO </w:t>
      </w:r>
      <w:r w:rsidRPr="00014D23">
        <w:rPr>
          <w:rFonts w:ascii="Palatino Linotype" w:hAnsi="Palatino Linotype"/>
          <w:b/>
          <w:u w:val="single"/>
        </w:rPr>
        <w:t xml:space="preserve">es referente a la presentación en la </w:t>
      </w:r>
      <w:r w:rsidRPr="00014D23">
        <w:rPr>
          <w:rFonts w:ascii="Palatino Linotype" w:hAnsi="Palatino Linotype"/>
          <w:b/>
          <w:i/>
          <w:u w:val="single"/>
        </w:rPr>
        <w:t>cuenta pública</w:t>
      </w:r>
      <w:r w:rsidRPr="00014D23">
        <w:rPr>
          <w:rFonts w:ascii="Palatino Linotype" w:hAnsi="Palatino Linotype"/>
        </w:rPr>
        <w:t xml:space="preserve"> que hagan los entes fiscalizables, el cual ciertamente cuenta con el plazo improrrogable para entregarlo hasta el 30 de septiembre del año en que se entreguen las mencionadas cuentas públicas.</w:t>
      </w:r>
    </w:p>
    <w:p w14:paraId="55C8D396" w14:textId="77777777" w:rsidR="007C75AE" w:rsidRPr="00014D23" w:rsidRDefault="007C75AE" w:rsidP="00B005B3">
      <w:pPr>
        <w:spacing w:before="240" w:after="240" w:line="360" w:lineRule="auto"/>
        <w:jc w:val="both"/>
        <w:rPr>
          <w:rFonts w:ascii="Palatino Linotype" w:hAnsi="Palatino Linotype"/>
        </w:rPr>
      </w:pPr>
    </w:p>
    <w:p w14:paraId="1A7E35D2" w14:textId="4D6F35F5" w:rsidR="00616199" w:rsidRPr="00014D23" w:rsidRDefault="00F8765D" w:rsidP="00F8765D">
      <w:pPr>
        <w:spacing w:line="360" w:lineRule="auto"/>
        <w:jc w:val="both"/>
        <w:rPr>
          <w:rFonts w:ascii="Palatino Linotype" w:hAnsi="Palatino Linotype"/>
        </w:rPr>
      </w:pPr>
      <w:r w:rsidRPr="00014D23">
        <w:rPr>
          <w:rFonts w:ascii="Palatino Linotype" w:hAnsi="Palatino Linotype"/>
        </w:rPr>
        <w:t>En este sentido, n</w:t>
      </w:r>
      <w:r w:rsidR="00616199" w:rsidRPr="00014D23">
        <w:rPr>
          <w:rFonts w:ascii="Palatino Linotype" w:hAnsi="Palatino Linotype"/>
        </w:rPr>
        <w:t>o hay que perder de vista que de conformidad con el artículo 32 de la Ley de Fiscalización</w:t>
      </w:r>
      <w:r w:rsidRPr="00014D23">
        <w:rPr>
          <w:rFonts w:ascii="Palatino Linotype" w:hAnsi="Palatino Linotype"/>
        </w:rPr>
        <w:t xml:space="preserve"> </w:t>
      </w:r>
      <w:r w:rsidR="00616199" w:rsidRPr="00014D23">
        <w:rPr>
          <w:rFonts w:ascii="Palatino Linotype" w:hAnsi="Palatino Linotype"/>
        </w:rPr>
        <w:t xml:space="preserve">las cuentas públicas del ejercicio fiscal inmediato anterior son entregadas al </w:t>
      </w:r>
      <w:r w:rsidRPr="00014D23">
        <w:rPr>
          <w:rFonts w:ascii="Palatino Linotype" w:hAnsi="Palatino Linotype"/>
        </w:rPr>
        <w:lastRenderedPageBreak/>
        <w:t>Órgano Superior de Fiscalización del Estado de México -</w:t>
      </w:r>
      <w:r w:rsidR="00616199" w:rsidRPr="00014D23">
        <w:rPr>
          <w:rFonts w:ascii="Palatino Linotype" w:hAnsi="Palatino Linotype"/>
        </w:rPr>
        <w:t>OSFEM</w:t>
      </w:r>
      <w:r w:rsidRPr="00014D23">
        <w:rPr>
          <w:rFonts w:ascii="Palatino Linotype" w:hAnsi="Palatino Linotype"/>
        </w:rPr>
        <w:t>-</w:t>
      </w:r>
      <w:r w:rsidR="00616199" w:rsidRPr="00014D23">
        <w:rPr>
          <w:rFonts w:ascii="Palatino Linotype" w:hAnsi="Palatino Linotype"/>
        </w:rPr>
        <w:t xml:space="preserve"> por parte de los presidentes municipales dentro de los primeros quince días del mes de marzo de cada año; por lo tanto no es posible que se clasifique información del año 2018 por parte del OSFEM cuan</w:t>
      </w:r>
      <w:r w:rsidRPr="00014D23">
        <w:rPr>
          <w:rFonts w:ascii="Palatino Linotype" w:hAnsi="Palatino Linotype"/>
        </w:rPr>
        <w:t xml:space="preserve">do la información de este año </w:t>
      </w:r>
      <w:r w:rsidR="00616199" w:rsidRPr="00014D23">
        <w:rPr>
          <w:rFonts w:ascii="Palatino Linotype" w:hAnsi="Palatino Linotype"/>
        </w:rPr>
        <w:t xml:space="preserve"> tratándose de cuenta pública aún no ha sido remitida por el Municipio, ya que ello ocurrirá hasta el año 2019.</w:t>
      </w:r>
    </w:p>
    <w:p w14:paraId="3E75E10E" w14:textId="77777777" w:rsidR="00F8765D" w:rsidRPr="00014D23" w:rsidRDefault="00F8765D" w:rsidP="00F8765D">
      <w:pPr>
        <w:spacing w:line="360" w:lineRule="auto"/>
        <w:jc w:val="both"/>
        <w:rPr>
          <w:rFonts w:ascii="Palatino Linotype" w:hAnsi="Palatino Linotype"/>
        </w:rPr>
      </w:pPr>
    </w:p>
    <w:p w14:paraId="005C0C47" w14:textId="1A7C6E0B" w:rsidR="004B380D" w:rsidRPr="00014D23" w:rsidRDefault="00616199" w:rsidP="00BA5BC3">
      <w:pPr>
        <w:spacing w:line="360" w:lineRule="auto"/>
        <w:jc w:val="both"/>
        <w:rPr>
          <w:rFonts w:ascii="Palatino Linotype" w:hAnsi="Palatino Linotype"/>
        </w:rPr>
      </w:pPr>
      <w:r w:rsidRPr="00014D23">
        <w:rPr>
          <w:rFonts w:ascii="Palatino Linotype" w:hAnsi="Palatino Linotype"/>
        </w:rPr>
        <w:t>Por ende no se puede confundir la información que es solicitada, con la que se pretende clasificar: ya que se están requiriendo la entrega de los informes mensuales, no así la entrega de las cuentas públicas, los cuales se tratan de información distinta según las propias definiciones de la Ley de Fiscalización</w:t>
      </w:r>
      <w:r w:rsidR="004B380D" w:rsidRPr="00014D23">
        <w:rPr>
          <w:rFonts w:ascii="Palatino Linotype" w:hAnsi="Palatino Linotype"/>
        </w:rPr>
        <w:t>, dispone:</w:t>
      </w:r>
    </w:p>
    <w:p w14:paraId="7BF2538E" w14:textId="77777777" w:rsidR="004B380D" w:rsidRPr="00014D23" w:rsidRDefault="004B380D" w:rsidP="00BA5BC3">
      <w:pPr>
        <w:spacing w:line="360" w:lineRule="auto"/>
        <w:jc w:val="both"/>
        <w:rPr>
          <w:rFonts w:ascii="Palatino Linotype" w:hAnsi="Palatino Linotype"/>
        </w:rPr>
      </w:pPr>
    </w:p>
    <w:p w14:paraId="049D465B" w14:textId="53C2E061" w:rsidR="004B380D" w:rsidRPr="00014D23" w:rsidRDefault="004B380D" w:rsidP="004B380D">
      <w:pPr>
        <w:pStyle w:val="Textonotapie"/>
        <w:ind w:left="993" w:right="1041"/>
        <w:jc w:val="both"/>
        <w:rPr>
          <w:rFonts w:ascii="Palatino Linotype" w:hAnsi="Palatino Linotype"/>
          <w:i/>
          <w:sz w:val="24"/>
          <w:szCs w:val="24"/>
        </w:rPr>
      </w:pPr>
      <w:r w:rsidRPr="00014D23">
        <w:rPr>
          <w:rFonts w:ascii="Palatino Linotype" w:hAnsi="Palatino Linotype"/>
          <w:i/>
          <w:sz w:val="24"/>
          <w:szCs w:val="24"/>
        </w:rPr>
        <w:t>“Artículo 2. Para los efectos de la presente Ley, se entenderá por:</w:t>
      </w:r>
    </w:p>
    <w:p w14:paraId="4B4B6870" w14:textId="20A0CC1B" w:rsidR="004B380D" w:rsidRPr="00014D23" w:rsidRDefault="004B380D" w:rsidP="004B380D">
      <w:pPr>
        <w:pStyle w:val="Textonotapie"/>
        <w:ind w:left="993" w:right="1041"/>
        <w:jc w:val="both"/>
        <w:rPr>
          <w:rFonts w:ascii="Palatino Linotype" w:hAnsi="Palatino Linotype"/>
          <w:i/>
          <w:sz w:val="24"/>
          <w:szCs w:val="24"/>
        </w:rPr>
      </w:pPr>
      <w:r w:rsidRPr="00014D23">
        <w:rPr>
          <w:rFonts w:ascii="Palatino Linotype" w:hAnsi="Palatino Linotype"/>
          <w:i/>
          <w:sz w:val="24"/>
          <w:szCs w:val="24"/>
        </w:rPr>
        <w:t xml:space="preserve"> (…)</w:t>
      </w:r>
    </w:p>
    <w:p w14:paraId="26F27D69" w14:textId="77777777" w:rsidR="004B380D" w:rsidRPr="00014D23" w:rsidRDefault="004B380D" w:rsidP="004B380D">
      <w:pPr>
        <w:pStyle w:val="Textonotapie"/>
        <w:ind w:left="993" w:right="1041"/>
        <w:jc w:val="both"/>
        <w:rPr>
          <w:rFonts w:ascii="Palatino Linotype" w:hAnsi="Palatino Linotype"/>
          <w:i/>
          <w:sz w:val="24"/>
          <w:szCs w:val="24"/>
        </w:rPr>
      </w:pPr>
      <w:r w:rsidRPr="00014D23">
        <w:rPr>
          <w:rFonts w:ascii="Palatino Linotype" w:hAnsi="Palatino Linotype"/>
          <w:b/>
          <w:i/>
          <w:sz w:val="24"/>
          <w:szCs w:val="24"/>
          <w:u w:val="single"/>
        </w:rPr>
        <w:t>VIII. Cuenta Pública:</w:t>
      </w:r>
      <w:r w:rsidRPr="00014D23">
        <w:rPr>
          <w:rFonts w:ascii="Palatino Linotype" w:hAnsi="Palatino Linotype"/>
          <w:i/>
          <w:sz w:val="24"/>
          <w:szCs w:val="24"/>
        </w:rPr>
        <w:t xml:space="preserve"> Los informes que rinden anualmente a la Legislatura, el Gobernador y los Presidentes Municipales, respecto de los resultados y la situación financiera del ejercicio fiscal inmediato anterior;</w:t>
      </w:r>
    </w:p>
    <w:p w14:paraId="0DD91852" w14:textId="656F9468" w:rsidR="004B380D" w:rsidRPr="00014D23" w:rsidRDefault="004B380D" w:rsidP="004B380D">
      <w:pPr>
        <w:pStyle w:val="Textonotapie"/>
        <w:ind w:left="993" w:right="1041"/>
        <w:jc w:val="both"/>
        <w:rPr>
          <w:rFonts w:ascii="Palatino Linotype" w:hAnsi="Palatino Linotype"/>
          <w:i/>
          <w:sz w:val="24"/>
          <w:szCs w:val="24"/>
        </w:rPr>
      </w:pPr>
      <w:r w:rsidRPr="00014D23">
        <w:rPr>
          <w:rFonts w:ascii="Palatino Linotype" w:hAnsi="Palatino Linotype"/>
          <w:i/>
          <w:sz w:val="24"/>
          <w:szCs w:val="24"/>
        </w:rPr>
        <w:t>…</w:t>
      </w:r>
    </w:p>
    <w:p w14:paraId="32964E6D" w14:textId="3FC1EE20" w:rsidR="004B380D" w:rsidRPr="00014D23" w:rsidRDefault="004B380D" w:rsidP="004B380D">
      <w:pPr>
        <w:spacing w:line="360" w:lineRule="auto"/>
        <w:ind w:left="993" w:right="1041"/>
        <w:jc w:val="both"/>
        <w:rPr>
          <w:rFonts w:ascii="Palatino Linotype" w:hAnsi="Palatino Linotype"/>
          <w:i/>
        </w:rPr>
      </w:pPr>
      <w:r w:rsidRPr="00014D23">
        <w:rPr>
          <w:rFonts w:ascii="Palatino Linotype" w:hAnsi="Palatino Linotype"/>
          <w:b/>
          <w:i/>
        </w:rPr>
        <w:t>XI. Informe Mensual:</w:t>
      </w:r>
      <w:r w:rsidRPr="00014D23">
        <w:rPr>
          <w:rFonts w:ascii="Palatino Linotype" w:hAnsi="Palatino Linotype"/>
          <w:i/>
        </w:rPr>
        <w:t xml:space="preserve"> Al documento que mensualmente envían para su análisis al Órgano Superior de Fiscalización de la Legislatura, las Tesorerías Municipales y la Secretaría de Finanzas;…”</w:t>
      </w:r>
    </w:p>
    <w:p w14:paraId="18360B6B" w14:textId="77777777" w:rsidR="004B380D" w:rsidRPr="00014D23" w:rsidRDefault="004B380D" w:rsidP="00BA5BC3">
      <w:pPr>
        <w:spacing w:line="360" w:lineRule="auto"/>
        <w:jc w:val="both"/>
        <w:rPr>
          <w:rFonts w:ascii="Palatino Linotype" w:hAnsi="Palatino Linotype"/>
        </w:rPr>
      </w:pPr>
    </w:p>
    <w:p w14:paraId="58057FB9" w14:textId="77777777" w:rsidR="004B380D" w:rsidRPr="00014D23" w:rsidRDefault="004B380D" w:rsidP="00BA5BC3">
      <w:pPr>
        <w:spacing w:line="360" w:lineRule="auto"/>
        <w:jc w:val="both"/>
        <w:rPr>
          <w:rFonts w:ascii="Palatino Linotype" w:hAnsi="Palatino Linotype"/>
        </w:rPr>
      </w:pPr>
    </w:p>
    <w:p w14:paraId="76E37F92" w14:textId="1421AEBE" w:rsidR="00616199" w:rsidRPr="00014D23" w:rsidRDefault="00616199" w:rsidP="00BA5BC3">
      <w:pPr>
        <w:spacing w:line="360" w:lineRule="auto"/>
        <w:jc w:val="both"/>
        <w:rPr>
          <w:rFonts w:ascii="Palatino Linotype" w:hAnsi="Palatino Linotype"/>
        </w:rPr>
      </w:pPr>
      <w:r w:rsidRPr="00014D23">
        <w:rPr>
          <w:rFonts w:ascii="Palatino Linotype" w:hAnsi="Palatino Linotype"/>
        </w:rPr>
        <w:t xml:space="preserve"> </w:t>
      </w:r>
      <w:r w:rsidR="004B380D" w:rsidRPr="00014D23">
        <w:rPr>
          <w:rFonts w:ascii="Palatino Linotype" w:hAnsi="Palatino Linotype"/>
        </w:rPr>
        <w:t>Por lo tanto,</w:t>
      </w:r>
      <w:r w:rsidRPr="00014D23">
        <w:rPr>
          <w:rFonts w:ascii="Palatino Linotype" w:hAnsi="Palatino Linotype"/>
        </w:rPr>
        <w:t xml:space="preserve"> el fundamento que se pretende utilizar por </w:t>
      </w:r>
      <w:r w:rsidR="00A51A82" w:rsidRPr="00014D23">
        <w:rPr>
          <w:rFonts w:ascii="Palatino Linotype" w:hAnsi="Palatino Linotype"/>
        </w:rPr>
        <w:t xml:space="preserve">EL SUJETO OBLIGADO </w:t>
      </w:r>
      <w:r w:rsidRPr="00014D23">
        <w:rPr>
          <w:rFonts w:ascii="Palatino Linotype" w:hAnsi="Palatino Linotype"/>
        </w:rPr>
        <w:t xml:space="preserve">y que es aceptado por la ponencia para reservar la información del año 2018 no se ajusta a la información requerida, pues incluso de haberse solicitado la cuenta pública del año en mención ésta no </w:t>
      </w:r>
      <w:r w:rsidRPr="00014D23">
        <w:rPr>
          <w:rFonts w:ascii="Palatino Linotype" w:hAnsi="Palatino Linotype"/>
        </w:rPr>
        <w:lastRenderedPageBreak/>
        <w:t xml:space="preserve">podría obrar en los archivos del </w:t>
      </w:r>
      <w:r w:rsidR="00A51A82" w:rsidRPr="00014D23">
        <w:rPr>
          <w:rFonts w:ascii="Palatino Linotype" w:hAnsi="Palatino Linotype"/>
        </w:rPr>
        <w:t xml:space="preserve">SUJETO OBLIGADO </w:t>
      </w:r>
      <w:r w:rsidRPr="00014D23">
        <w:rPr>
          <w:rFonts w:ascii="Palatino Linotype" w:hAnsi="Palatino Linotype"/>
        </w:rPr>
        <w:t>por razón de los plazos establecidos para su entrega.</w:t>
      </w:r>
    </w:p>
    <w:p w14:paraId="220F7FF5" w14:textId="77777777" w:rsidR="00616199" w:rsidRPr="00014D23" w:rsidRDefault="00616199" w:rsidP="004B380D">
      <w:pPr>
        <w:spacing w:line="360" w:lineRule="auto"/>
        <w:jc w:val="both"/>
        <w:rPr>
          <w:rFonts w:ascii="Palatino Linotype" w:hAnsi="Palatino Linotype"/>
        </w:rPr>
      </w:pPr>
    </w:p>
    <w:p w14:paraId="3E9D9FC8" w14:textId="7B97B29A" w:rsidR="00805420" w:rsidRPr="00014D23" w:rsidRDefault="00616199" w:rsidP="00B02DBC">
      <w:pPr>
        <w:spacing w:line="360" w:lineRule="auto"/>
        <w:jc w:val="both"/>
        <w:rPr>
          <w:rFonts w:ascii="Palatino Linotype" w:hAnsi="Palatino Linotype"/>
        </w:rPr>
      </w:pPr>
      <w:r w:rsidRPr="00014D23">
        <w:rPr>
          <w:rFonts w:ascii="Palatino Linotype" w:hAnsi="Palatino Linotype"/>
        </w:rPr>
        <w:t xml:space="preserve">En consecuencia no se estima que deba ser restringido el acceso a los </w:t>
      </w:r>
      <w:r w:rsidRPr="00014D23">
        <w:rPr>
          <w:rFonts w:ascii="Palatino Linotype" w:hAnsi="Palatino Linotype"/>
          <w:b/>
          <w:i/>
          <w:u w:val="single"/>
        </w:rPr>
        <w:t xml:space="preserve">informe mensuales del año 2018 </w:t>
      </w:r>
      <w:r w:rsidRPr="00014D23">
        <w:rPr>
          <w:rFonts w:ascii="Palatino Linotype" w:hAnsi="Palatino Linotype"/>
        </w:rPr>
        <w:t>ya que incluso la información que en ellos fue remitida por el municipio y el Sistema DIF no se vería modificada por las actividades de fiscalización del OSFEM, ya que no se vuelven a generar nuevos informes aun cuando se realicen observaciones o se inicien procedimientos; por lo que se trata de información definitiva.</w:t>
      </w:r>
    </w:p>
    <w:p w14:paraId="28FC5547" w14:textId="05ABAEDE" w:rsidR="008C04F9" w:rsidRPr="00014D23" w:rsidRDefault="008C04F9" w:rsidP="000B5877">
      <w:pPr>
        <w:spacing w:before="240" w:line="360" w:lineRule="auto"/>
        <w:jc w:val="both"/>
        <w:rPr>
          <w:rFonts w:ascii="Palatino Linotype" w:hAnsi="Palatino Linotype" w:cs="Arial"/>
          <w:lang w:eastAsia="es-MX"/>
        </w:rPr>
      </w:pPr>
      <w:r w:rsidRPr="00014D23">
        <w:rPr>
          <w:rFonts w:ascii="Palatino Linotype" w:hAnsi="Palatino Linotype"/>
          <w:shd w:val="clear" w:color="auto" w:fill="FFFFFF"/>
        </w:rPr>
        <w:t>En mi</w:t>
      </w:r>
      <w:r w:rsidR="00C7230B" w:rsidRPr="00014D23">
        <w:rPr>
          <w:rFonts w:ascii="Palatino Linotype" w:hAnsi="Palatino Linotype"/>
          <w:shd w:val="clear" w:color="auto" w:fill="FFFFFF"/>
        </w:rPr>
        <w:t xml:space="preserve"> opinión</w:t>
      </w:r>
      <w:r w:rsidRPr="00014D23">
        <w:rPr>
          <w:rFonts w:ascii="Palatino Linotype" w:hAnsi="Palatino Linotype"/>
          <w:shd w:val="clear" w:color="auto" w:fill="FFFFFF"/>
        </w:rPr>
        <w:t xml:space="preserve">, </w:t>
      </w:r>
      <w:r w:rsidR="007D133D" w:rsidRPr="00014D23">
        <w:rPr>
          <w:rFonts w:ascii="Palatino Linotype" w:hAnsi="Palatino Linotype"/>
        </w:rPr>
        <w:t xml:space="preserve">se debió de revocar también la respuesta a las solicitudes </w:t>
      </w:r>
      <w:r w:rsidR="007D133D" w:rsidRPr="00014D23">
        <w:rPr>
          <w:rFonts w:ascii="Palatino Linotype" w:hAnsi="Palatino Linotype" w:cs="Arial"/>
          <w:b/>
          <w:bCs/>
        </w:rPr>
        <w:t xml:space="preserve">00324/PLEGISLA/IP/2018, 00326/PLEGISLA/IP/2018 </w:t>
      </w:r>
      <w:r w:rsidR="007D133D" w:rsidRPr="00014D23">
        <w:rPr>
          <w:rFonts w:ascii="Palatino Linotype" w:hAnsi="Palatino Linotype" w:cs="Arial"/>
          <w:bCs/>
        </w:rPr>
        <w:t>y</w:t>
      </w:r>
      <w:r w:rsidR="007D133D" w:rsidRPr="00014D23">
        <w:rPr>
          <w:rFonts w:ascii="Palatino Linotype" w:hAnsi="Palatino Linotype" w:cs="Arial"/>
          <w:b/>
          <w:bCs/>
        </w:rPr>
        <w:t xml:space="preserve"> 00328/PLEGISLA/IP/2018</w:t>
      </w:r>
      <w:r w:rsidR="007D133D" w:rsidRPr="00014D23">
        <w:rPr>
          <w:rFonts w:ascii="Palatino Linotype" w:hAnsi="Palatino Linotype"/>
        </w:rPr>
        <w:t xml:space="preserve"> y ordenar la entrega de los informes mensuales existentes – según la fecha de las solicitudes- del año 2018.</w:t>
      </w:r>
    </w:p>
    <w:p w14:paraId="4DE0D8DD" w14:textId="09B29D6F" w:rsidR="005A53CD" w:rsidRPr="00014D23" w:rsidRDefault="000B5877" w:rsidP="000B5877">
      <w:pPr>
        <w:spacing w:before="240" w:line="360" w:lineRule="auto"/>
        <w:jc w:val="both"/>
        <w:rPr>
          <w:rFonts w:ascii="Palatino Linotype" w:hAnsi="Palatino Linotype" w:cs="Arial"/>
        </w:rPr>
      </w:pPr>
      <w:r w:rsidRPr="00014D23">
        <w:rPr>
          <w:rFonts w:ascii="Palatino Linotype" w:hAnsi="Palatino Linotype" w:cs="Arial"/>
        </w:rPr>
        <w:t>Por todo lo expuesto es que for</w:t>
      </w:r>
      <w:r w:rsidR="000F1847" w:rsidRPr="00014D23">
        <w:rPr>
          <w:rFonts w:ascii="Palatino Linotype" w:hAnsi="Palatino Linotype" w:cs="Arial"/>
        </w:rPr>
        <w:t>mulo el presente voto</w:t>
      </w:r>
      <w:r w:rsidR="00E27918" w:rsidRPr="00014D23">
        <w:rPr>
          <w:rFonts w:ascii="Palatino Linotype" w:hAnsi="Palatino Linotype" w:cs="Arial"/>
        </w:rPr>
        <w:t xml:space="preserve"> particular</w:t>
      </w:r>
      <w:r w:rsidRPr="00014D23">
        <w:rPr>
          <w:rFonts w:ascii="Palatino Linotype" w:hAnsi="Palatino Linotype" w:cs="Arial"/>
        </w:rPr>
        <w:t>, en los términos precisados, considerando que las consideraciones aquí expuestas hubieran resultado importantes para</w:t>
      </w:r>
      <w:r w:rsidR="008C04F9" w:rsidRPr="00014D23">
        <w:rPr>
          <w:rFonts w:ascii="Palatino Linotype" w:hAnsi="Palatino Linotype" w:cs="Arial"/>
        </w:rPr>
        <w:t xml:space="preserve"> reforzar el estudio </w:t>
      </w:r>
      <w:r w:rsidRPr="00014D23">
        <w:rPr>
          <w:rFonts w:ascii="Palatino Linotype" w:hAnsi="Palatino Linotype" w:cs="Arial"/>
        </w:rPr>
        <w:t xml:space="preserve">motivo del recurso de revisión que fue resuelto por el Pleno de este Instituto, mencionado.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tblGrid>
      <w:tr w:rsidR="000B5877" w:rsidRPr="00014D23" w14:paraId="558A24AB" w14:textId="77777777" w:rsidTr="00E76114">
        <w:trPr>
          <w:trHeight w:val="809"/>
          <w:jc w:val="center"/>
        </w:trPr>
        <w:tc>
          <w:tcPr>
            <w:tcW w:w="4396" w:type="dxa"/>
          </w:tcPr>
          <w:p w14:paraId="088B3C81" w14:textId="77777777" w:rsidR="000B5877" w:rsidRPr="00014D23" w:rsidRDefault="000B5877" w:rsidP="00A649E3">
            <w:pPr>
              <w:rPr>
                <w:rFonts w:ascii="Palatino Linotype" w:hAnsi="Palatino Linotype"/>
                <w:b/>
                <w:color w:val="FF0000"/>
                <w:sz w:val="24"/>
                <w:szCs w:val="24"/>
              </w:rPr>
            </w:pPr>
          </w:p>
          <w:p w14:paraId="609CE50C" w14:textId="77777777" w:rsidR="000B5877" w:rsidRPr="00014D23" w:rsidRDefault="000B5877" w:rsidP="00E76114">
            <w:pPr>
              <w:jc w:val="center"/>
              <w:rPr>
                <w:rFonts w:ascii="Palatino Linotype" w:hAnsi="Palatino Linotype"/>
                <w:b/>
                <w:color w:val="FF0000"/>
                <w:sz w:val="24"/>
                <w:szCs w:val="24"/>
              </w:rPr>
            </w:pPr>
          </w:p>
          <w:p w14:paraId="2576BDE6" w14:textId="77777777" w:rsidR="00E27918" w:rsidRPr="00014D23" w:rsidRDefault="00E27918" w:rsidP="00E76114">
            <w:pPr>
              <w:jc w:val="center"/>
              <w:rPr>
                <w:rFonts w:ascii="Palatino Linotype" w:hAnsi="Palatino Linotype"/>
                <w:b/>
                <w:color w:val="FF0000"/>
                <w:sz w:val="24"/>
                <w:szCs w:val="24"/>
              </w:rPr>
            </w:pPr>
          </w:p>
          <w:p w14:paraId="158383FB" w14:textId="77777777" w:rsidR="00E27918" w:rsidRPr="00014D23" w:rsidRDefault="00E27918" w:rsidP="00F63F9E">
            <w:pPr>
              <w:rPr>
                <w:rFonts w:ascii="Palatino Linotype" w:hAnsi="Palatino Linotype"/>
                <w:b/>
                <w:color w:val="FF0000"/>
                <w:sz w:val="24"/>
                <w:szCs w:val="24"/>
              </w:rPr>
            </w:pPr>
          </w:p>
          <w:p w14:paraId="716AFE36" w14:textId="77777777" w:rsidR="00E27918" w:rsidRPr="00014D23" w:rsidRDefault="00E27918" w:rsidP="00E76114">
            <w:pPr>
              <w:jc w:val="center"/>
              <w:rPr>
                <w:rFonts w:ascii="Palatino Linotype" w:hAnsi="Palatino Linotype"/>
                <w:b/>
                <w:color w:val="FF0000"/>
                <w:sz w:val="24"/>
                <w:szCs w:val="24"/>
              </w:rPr>
            </w:pPr>
          </w:p>
          <w:p w14:paraId="7E0BEDF0" w14:textId="77777777" w:rsidR="000B5877" w:rsidRPr="00014D23" w:rsidRDefault="000B5877" w:rsidP="00E76114">
            <w:pPr>
              <w:jc w:val="center"/>
              <w:rPr>
                <w:rFonts w:ascii="Palatino Linotype" w:hAnsi="Palatino Linotype"/>
                <w:b/>
                <w:sz w:val="24"/>
                <w:szCs w:val="24"/>
              </w:rPr>
            </w:pPr>
          </w:p>
          <w:p w14:paraId="2AB3F9FD" w14:textId="77777777" w:rsidR="000B5877" w:rsidRPr="00014D23" w:rsidRDefault="000B5877" w:rsidP="00E76114">
            <w:pPr>
              <w:jc w:val="center"/>
              <w:rPr>
                <w:rFonts w:ascii="Palatino Linotype" w:hAnsi="Palatino Linotype"/>
                <w:b/>
                <w:color w:val="FF0000"/>
                <w:sz w:val="24"/>
                <w:szCs w:val="24"/>
              </w:rPr>
            </w:pPr>
            <w:r w:rsidRPr="00014D23">
              <w:rPr>
                <w:rFonts w:ascii="Palatino Linotype" w:hAnsi="Palatino Linotype"/>
                <w:b/>
                <w:sz w:val="24"/>
                <w:szCs w:val="24"/>
              </w:rPr>
              <w:t>Javier Martínez Cruz</w:t>
            </w:r>
          </w:p>
        </w:tc>
        <w:bookmarkStart w:id="0" w:name="_GoBack"/>
        <w:bookmarkEnd w:id="0"/>
      </w:tr>
      <w:tr w:rsidR="00A649E3" w:rsidRPr="00014D23" w14:paraId="50926102" w14:textId="77777777" w:rsidTr="002F4A49">
        <w:trPr>
          <w:trHeight w:val="503"/>
          <w:jc w:val="center"/>
        </w:trPr>
        <w:tc>
          <w:tcPr>
            <w:tcW w:w="4396" w:type="dxa"/>
          </w:tcPr>
          <w:p w14:paraId="2FAD9215" w14:textId="77777777" w:rsidR="000B5877" w:rsidRPr="00014D23" w:rsidRDefault="000B5877" w:rsidP="00E76114">
            <w:pPr>
              <w:jc w:val="center"/>
              <w:rPr>
                <w:rFonts w:ascii="Palatino Linotype" w:hAnsi="Palatino Linotype"/>
                <w:b/>
                <w:sz w:val="24"/>
                <w:szCs w:val="24"/>
              </w:rPr>
            </w:pPr>
            <w:r w:rsidRPr="00014D23">
              <w:rPr>
                <w:rFonts w:ascii="Palatino Linotype" w:hAnsi="Palatino Linotype"/>
                <w:b/>
                <w:sz w:val="24"/>
                <w:szCs w:val="24"/>
              </w:rPr>
              <w:t>Comisionado</w:t>
            </w:r>
          </w:p>
          <w:p w14:paraId="30CA00ED" w14:textId="1652AE77" w:rsidR="000B5877" w:rsidRPr="00014D23" w:rsidRDefault="004437A4" w:rsidP="004437A4">
            <w:pPr>
              <w:tabs>
                <w:tab w:val="left" w:pos="1545"/>
                <w:tab w:val="center" w:pos="2090"/>
              </w:tabs>
              <w:rPr>
                <w:rFonts w:ascii="Palatino Linotype" w:hAnsi="Palatino Linotype"/>
                <w:sz w:val="24"/>
                <w:szCs w:val="24"/>
              </w:rPr>
            </w:pPr>
            <w:r w:rsidRPr="00014D23">
              <w:rPr>
                <w:rFonts w:ascii="Palatino Linotype" w:hAnsi="Palatino Linotype"/>
                <w:sz w:val="24"/>
                <w:szCs w:val="24"/>
              </w:rPr>
              <w:tab/>
            </w:r>
            <w:r w:rsidRPr="00B02DBC">
              <w:rPr>
                <w:rFonts w:ascii="Palatino Linotype" w:hAnsi="Palatino Linotype"/>
                <w:sz w:val="24"/>
                <w:szCs w:val="24"/>
              </w:rPr>
              <w:tab/>
            </w:r>
            <w:r w:rsidR="00A649E3" w:rsidRPr="00B02DBC">
              <w:rPr>
                <w:rFonts w:ascii="Palatino Linotype" w:hAnsi="Palatino Linotype"/>
                <w:sz w:val="24"/>
                <w:szCs w:val="24"/>
              </w:rPr>
              <w:t>(Rúbrica)</w:t>
            </w:r>
          </w:p>
        </w:tc>
      </w:tr>
    </w:tbl>
    <w:p w14:paraId="59DB71DC" w14:textId="77777777" w:rsidR="00F63F9E" w:rsidRPr="00014D23" w:rsidRDefault="00F63F9E" w:rsidP="009C66CC">
      <w:pPr>
        <w:spacing w:before="240" w:line="360" w:lineRule="auto"/>
        <w:contextualSpacing/>
        <w:jc w:val="both"/>
        <w:rPr>
          <w:rFonts w:ascii="Palatino Linotype" w:hAnsi="Palatino Linotype"/>
          <w:lang w:eastAsia="es-ES_tradnl"/>
        </w:rPr>
      </w:pPr>
    </w:p>
    <w:sectPr w:rsidR="00F63F9E" w:rsidRPr="00014D23" w:rsidSect="00575235">
      <w:headerReference w:type="default" r:id="rId8"/>
      <w:footerReference w:type="default" r:id="rId9"/>
      <w:pgSz w:w="12240" w:h="15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776BF" w14:textId="77777777" w:rsidR="00DA1C65" w:rsidRDefault="00DA1C65" w:rsidP="00C80F8C">
      <w:r>
        <w:separator/>
      </w:r>
    </w:p>
  </w:endnote>
  <w:endnote w:type="continuationSeparator" w:id="0">
    <w:p w14:paraId="065EC7D6" w14:textId="77777777" w:rsidR="00DA1C65" w:rsidRDefault="00DA1C6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35751" w14:textId="77777777" w:rsidR="006F30F8" w:rsidRDefault="006F30F8" w:rsidP="006F30F8">
    <w:pPr>
      <w:pStyle w:val="Piedepgina"/>
      <w:ind w:firstLine="708"/>
    </w:pPr>
  </w:p>
  <w:p w14:paraId="38ED859D" w14:textId="77777777" w:rsidR="006F30F8" w:rsidRDefault="006F30F8" w:rsidP="006F30F8">
    <w:pPr>
      <w:pStyle w:val="Piedepgina"/>
      <w:ind w:firstLine="708"/>
    </w:pPr>
  </w:p>
  <w:p w14:paraId="0B2BAE82" w14:textId="77777777" w:rsidR="006F30F8" w:rsidRDefault="006F30F8" w:rsidP="006F30F8">
    <w:pPr>
      <w:pStyle w:val="Piedepgina"/>
      <w:ind w:firstLine="708"/>
    </w:pPr>
  </w:p>
  <w:p w14:paraId="25D26CDF" w14:textId="77777777" w:rsidR="006F30F8" w:rsidRDefault="006F30F8" w:rsidP="006F30F8">
    <w:pPr>
      <w:pStyle w:val="Piedepgina"/>
      <w:ind w:firstLine="708"/>
    </w:pP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AE4318" w14:textId="77777777" w:rsidR="00DA1C65" w:rsidRDefault="00DA1C65" w:rsidP="00C80F8C">
      <w:r>
        <w:separator/>
      </w:r>
    </w:p>
  </w:footnote>
  <w:footnote w:type="continuationSeparator" w:id="0">
    <w:p w14:paraId="6512B581" w14:textId="77777777" w:rsidR="00DA1C65" w:rsidRDefault="00DA1C65"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BC56B" w14:textId="04B370F3" w:rsidR="00634485" w:rsidRPr="00A81140" w:rsidRDefault="000E11A9" w:rsidP="00C80F8C">
    <w:pPr>
      <w:pStyle w:val="Encabezado"/>
      <w:tabs>
        <w:tab w:val="clear" w:pos="4252"/>
        <w:tab w:val="clear" w:pos="8504"/>
        <w:tab w:val="left" w:pos="2326"/>
      </w:tabs>
      <w:rPr>
        <w:rFonts w:ascii="Palatino Linotype" w:hAnsi="Palatino Linotype"/>
      </w:rPr>
    </w:pPr>
    <w:r>
      <w:rPr>
        <w:rFonts w:ascii="Palatino Linotype" w:hAnsi="Palatino Linotype"/>
        <w:noProof/>
        <w:lang w:val="es-MX" w:eastAsia="es-MX"/>
      </w:rPr>
      <w:drawing>
        <wp:anchor distT="0" distB="0" distL="114300" distR="114300" simplePos="0" relativeHeight="251657216" behindDoc="1" locked="0" layoutInCell="1" allowOverlap="1" wp14:anchorId="46D381A4" wp14:editId="61C12C16">
          <wp:simplePos x="0" y="0"/>
          <wp:positionH relativeFrom="column">
            <wp:posOffset>-631825</wp:posOffset>
          </wp:positionH>
          <wp:positionV relativeFrom="paragraph">
            <wp:posOffset>-357505</wp:posOffset>
          </wp:positionV>
          <wp:extent cx="7604125" cy="99034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0BC213F2" w14:textId="7A02F4B9" w:rsidR="00F42A73" w:rsidRPr="000E11A9" w:rsidRDefault="007C45E0" w:rsidP="00F42A73">
    <w:pPr>
      <w:pStyle w:val="Encabezado"/>
      <w:jc w:val="right"/>
      <w:rPr>
        <w:rFonts w:ascii="Palatino Linotype" w:hAnsi="Palatino Linotype"/>
        <w:lang w:val="es-MX"/>
      </w:rPr>
    </w:pPr>
    <w:r>
      <w:rPr>
        <w:rFonts w:ascii="Palatino Linotype" w:hAnsi="Palatino Linotype"/>
      </w:rPr>
      <w:t>VOTO</w:t>
    </w:r>
    <w:r w:rsidR="000E11A9">
      <w:rPr>
        <w:rFonts w:ascii="Palatino Linotype" w:hAnsi="Palatino Linotype"/>
        <w:lang w:val="es-MX"/>
      </w:rPr>
      <w:t xml:space="preserve"> PARTICULAR</w:t>
    </w:r>
  </w:p>
  <w:p w14:paraId="2F83D6AC" w14:textId="58B89F1D" w:rsidR="00F42A73" w:rsidRPr="005A53CD" w:rsidRDefault="00F42A73" w:rsidP="005A53CD">
    <w:pPr>
      <w:jc w:val="right"/>
      <w:rPr>
        <w:rFonts w:ascii="Palatino Linotype" w:hAnsi="Palatino Linotype"/>
        <w:b/>
        <w:sz w:val="22"/>
        <w:szCs w:val="22"/>
        <w:lang w:val="en-US"/>
      </w:rPr>
    </w:pPr>
    <w:r w:rsidRPr="00C51F7E">
      <w:rPr>
        <w:rFonts w:ascii="Palatino Linotype" w:hAnsi="Palatino Linotype"/>
      </w:rPr>
      <w:t xml:space="preserve">RECURSO DE REVISIÓN </w:t>
    </w:r>
    <w:r w:rsidR="007F0E85">
      <w:rPr>
        <w:rFonts w:ascii="Palatino Linotype" w:hAnsi="Palatino Linotype"/>
        <w:b/>
        <w:sz w:val="22"/>
        <w:szCs w:val="22"/>
        <w:lang w:val="en-US"/>
      </w:rPr>
      <w:t xml:space="preserve">03062/INFOEM/IP/RR/2018 </w:t>
    </w:r>
    <w:r w:rsidR="005A53CD">
      <w:rPr>
        <w:rFonts w:ascii="Palatino Linotype" w:hAnsi="Palatino Linotype"/>
        <w:b/>
        <w:sz w:val="22"/>
        <w:szCs w:val="22"/>
        <w:lang w:val="en-US"/>
      </w:rPr>
      <w:t xml:space="preserve">y </w:t>
    </w:r>
    <w:r w:rsidR="007F0E85">
      <w:rPr>
        <w:rFonts w:ascii="Palatino Linotype" w:hAnsi="Palatino Linotype"/>
        <w:b/>
        <w:sz w:val="22"/>
        <w:szCs w:val="22"/>
        <w:lang w:val="en-US"/>
      </w:rPr>
      <w:t xml:space="preserve"> </w:t>
    </w:r>
    <w:proofErr w:type="spellStart"/>
    <w:r w:rsidR="005A53CD">
      <w:rPr>
        <w:rFonts w:ascii="Palatino Linotype" w:hAnsi="Palatino Linotype"/>
        <w:b/>
        <w:sz w:val="22"/>
        <w:szCs w:val="22"/>
        <w:lang w:val="en-US"/>
      </w:rPr>
      <w:t>acumulados</w:t>
    </w:r>
    <w:proofErr w:type="spellEnd"/>
  </w:p>
  <w:p w14:paraId="01D08E3E" w14:textId="77777777" w:rsidR="006F30F8" w:rsidRDefault="006F30F8" w:rsidP="006F30F8">
    <w:pPr>
      <w:pStyle w:val="Encabezado"/>
      <w:tabs>
        <w:tab w:val="clear" w:pos="4252"/>
        <w:tab w:val="clear" w:pos="8504"/>
        <w:tab w:val="left" w:pos="2326"/>
      </w:tabs>
    </w:pPr>
  </w:p>
  <w:p w14:paraId="529674EB" w14:textId="77777777" w:rsidR="00634485" w:rsidRDefault="00634485" w:rsidP="00C80F8C">
    <w:pPr>
      <w:pStyle w:val="Encabezado"/>
      <w:tabs>
        <w:tab w:val="clear" w:pos="4252"/>
        <w:tab w:val="clear" w:pos="8504"/>
        <w:tab w:val="left" w:pos="2326"/>
      </w:tabs>
    </w:pPr>
  </w:p>
  <w:p w14:paraId="71104997" w14:textId="77777777" w:rsidR="00634485" w:rsidRDefault="00634485" w:rsidP="00C80F8C">
    <w:pPr>
      <w:pStyle w:val="Encabezado"/>
      <w:tabs>
        <w:tab w:val="clear" w:pos="4252"/>
        <w:tab w:val="clear" w:pos="8504"/>
        <w:tab w:val="left" w:pos="232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43FC"/>
    <w:multiLevelType w:val="hybridMultilevel"/>
    <w:tmpl w:val="B7F495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2E26E3"/>
    <w:multiLevelType w:val="hybridMultilevel"/>
    <w:tmpl w:val="1BC003AC"/>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
    <w:nsid w:val="0BD3407B"/>
    <w:multiLevelType w:val="hybridMultilevel"/>
    <w:tmpl w:val="CD54A896"/>
    <w:lvl w:ilvl="0" w:tplc="EF565962">
      <w:start w:val="1"/>
      <w:numFmt w:val="decimal"/>
      <w:lvlText w:val="%1)"/>
      <w:lvlJc w:val="left"/>
      <w:pPr>
        <w:ind w:left="360" w:hanging="360"/>
      </w:pPr>
      <w:rPr>
        <w:b/>
      </w:rPr>
    </w:lvl>
    <w:lvl w:ilvl="1" w:tplc="EF02B430">
      <w:start w:val="1"/>
      <w:numFmt w:val="lowerLetter"/>
      <w:lvlText w:val="%2)"/>
      <w:lvlJc w:val="left"/>
      <w:pPr>
        <w:ind w:left="1080" w:hanging="360"/>
      </w:pPr>
      <w:rPr>
        <w:b/>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112D27AA"/>
    <w:multiLevelType w:val="hybridMultilevel"/>
    <w:tmpl w:val="D21E5E32"/>
    <w:lvl w:ilvl="0" w:tplc="2C484086">
      <w:start w:val="1"/>
      <w:numFmt w:val="upperRoman"/>
      <w:lvlText w:val="%1."/>
      <w:lvlJc w:val="left"/>
      <w:pPr>
        <w:ind w:left="1713" w:hanging="720"/>
      </w:pPr>
      <w:rPr>
        <w:rFonts w:ascii="Palatino Linotype" w:eastAsia="Times New Roman" w:hAnsi="Palatino Linotype" w:cs="Times New Roman"/>
      </w:rPr>
    </w:lvl>
    <w:lvl w:ilvl="1" w:tplc="080A0019">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
    <w:nsid w:val="29CD662B"/>
    <w:multiLevelType w:val="hybridMultilevel"/>
    <w:tmpl w:val="FD22C30A"/>
    <w:lvl w:ilvl="0" w:tplc="080A0005">
      <w:start w:val="1"/>
      <w:numFmt w:val="bullet"/>
      <w:lvlText w:val=""/>
      <w:lvlJc w:val="left"/>
      <w:pPr>
        <w:ind w:left="1080" w:hanging="72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C72545B"/>
    <w:multiLevelType w:val="hybridMultilevel"/>
    <w:tmpl w:val="A302F512"/>
    <w:lvl w:ilvl="0" w:tplc="AE9404F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nsid w:val="30770275"/>
    <w:multiLevelType w:val="hybridMultilevel"/>
    <w:tmpl w:val="071AED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4317490"/>
    <w:multiLevelType w:val="hybridMultilevel"/>
    <w:tmpl w:val="22E4DEEE"/>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4FD18C8"/>
    <w:multiLevelType w:val="hybridMultilevel"/>
    <w:tmpl w:val="F62CB1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80009A9"/>
    <w:multiLevelType w:val="hybridMultilevel"/>
    <w:tmpl w:val="B75829E2"/>
    <w:lvl w:ilvl="0" w:tplc="080A0015">
      <w:start w:val="1"/>
      <w:numFmt w:val="upperLetter"/>
      <w:lvlText w:val="%1."/>
      <w:lvlJc w:val="left"/>
      <w:pPr>
        <w:ind w:left="3900" w:hanging="360"/>
      </w:pPr>
      <w:rPr>
        <w:rFonts w:hint="default"/>
      </w:rPr>
    </w:lvl>
    <w:lvl w:ilvl="1" w:tplc="080A0003">
      <w:start w:val="1"/>
      <w:numFmt w:val="bullet"/>
      <w:lvlText w:val="o"/>
      <w:lvlJc w:val="left"/>
      <w:pPr>
        <w:ind w:left="4620" w:hanging="360"/>
      </w:pPr>
      <w:rPr>
        <w:rFonts w:ascii="Courier New" w:hAnsi="Courier New" w:cs="Courier New" w:hint="default"/>
      </w:rPr>
    </w:lvl>
    <w:lvl w:ilvl="2" w:tplc="080A0005" w:tentative="1">
      <w:start w:val="1"/>
      <w:numFmt w:val="bullet"/>
      <w:lvlText w:val=""/>
      <w:lvlJc w:val="left"/>
      <w:pPr>
        <w:ind w:left="5340" w:hanging="360"/>
      </w:pPr>
      <w:rPr>
        <w:rFonts w:ascii="Wingdings" w:hAnsi="Wingdings" w:hint="default"/>
      </w:rPr>
    </w:lvl>
    <w:lvl w:ilvl="3" w:tplc="080A0001" w:tentative="1">
      <w:start w:val="1"/>
      <w:numFmt w:val="bullet"/>
      <w:lvlText w:val=""/>
      <w:lvlJc w:val="left"/>
      <w:pPr>
        <w:ind w:left="6060" w:hanging="360"/>
      </w:pPr>
      <w:rPr>
        <w:rFonts w:ascii="Symbol" w:hAnsi="Symbol" w:hint="default"/>
      </w:rPr>
    </w:lvl>
    <w:lvl w:ilvl="4" w:tplc="080A0003" w:tentative="1">
      <w:start w:val="1"/>
      <w:numFmt w:val="bullet"/>
      <w:lvlText w:val="o"/>
      <w:lvlJc w:val="left"/>
      <w:pPr>
        <w:ind w:left="6780" w:hanging="360"/>
      </w:pPr>
      <w:rPr>
        <w:rFonts w:ascii="Courier New" w:hAnsi="Courier New" w:cs="Courier New" w:hint="default"/>
      </w:rPr>
    </w:lvl>
    <w:lvl w:ilvl="5" w:tplc="080A0005" w:tentative="1">
      <w:start w:val="1"/>
      <w:numFmt w:val="bullet"/>
      <w:lvlText w:val=""/>
      <w:lvlJc w:val="left"/>
      <w:pPr>
        <w:ind w:left="7500" w:hanging="360"/>
      </w:pPr>
      <w:rPr>
        <w:rFonts w:ascii="Wingdings" w:hAnsi="Wingdings" w:hint="default"/>
      </w:rPr>
    </w:lvl>
    <w:lvl w:ilvl="6" w:tplc="080A0001" w:tentative="1">
      <w:start w:val="1"/>
      <w:numFmt w:val="bullet"/>
      <w:lvlText w:val=""/>
      <w:lvlJc w:val="left"/>
      <w:pPr>
        <w:ind w:left="8220" w:hanging="360"/>
      </w:pPr>
      <w:rPr>
        <w:rFonts w:ascii="Symbol" w:hAnsi="Symbol" w:hint="default"/>
      </w:rPr>
    </w:lvl>
    <w:lvl w:ilvl="7" w:tplc="080A0003" w:tentative="1">
      <w:start w:val="1"/>
      <w:numFmt w:val="bullet"/>
      <w:lvlText w:val="o"/>
      <w:lvlJc w:val="left"/>
      <w:pPr>
        <w:ind w:left="8940" w:hanging="360"/>
      </w:pPr>
      <w:rPr>
        <w:rFonts w:ascii="Courier New" w:hAnsi="Courier New" w:cs="Courier New" w:hint="default"/>
      </w:rPr>
    </w:lvl>
    <w:lvl w:ilvl="8" w:tplc="080A0005" w:tentative="1">
      <w:start w:val="1"/>
      <w:numFmt w:val="bullet"/>
      <w:lvlText w:val=""/>
      <w:lvlJc w:val="left"/>
      <w:pPr>
        <w:ind w:left="9660" w:hanging="360"/>
      </w:pPr>
      <w:rPr>
        <w:rFonts w:ascii="Wingdings" w:hAnsi="Wingdings" w:hint="default"/>
      </w:rPr>
    </w:lvl>
  </w:abstractNum>
  <w:abstractNum w:abstractNumId="10">
    <w:nsid w:val="3B962477"/>
    <w:multiLevelType w:val="hybridMultilevel"/>
    <w:tmpl w:val="B3205B1E"/>
    <w:lvl w:ilvl="0" w:tplc="C184A0EA">
      <w:start w:val="1"/>
      <w:numFmt w:val="lowerLetter"/>
      <w:lvlText w:val="%1)"/>
      <w:lvlJc w:val="left"/>
      <w:pPr>
        <w:ind w:left="720" w:hanging="360"/>
      </w:pPr>
      <w:rPr>
        <w:rFonts w:cs="Arial" w:hint="default"/>
        <w:color w:val="00000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DA11B28"/>
    <w:multiLevelType w:val="hybridMultilevel"/>
    <w:tmpl w:val="C0EE0B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07578C2"/>
    <w:multiLevelType w:val="hybridMultilevel"/>
    <w:tmpl w:val="B3C4F39A"/>
    <w:lvl w:ilvl="0" w:tplc="12E0598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nsid w:val="4BA36BB2"/>
    <w:multiLevelType w:val="hybridMultilevel"/>
    <w:tmpl w:val="536E1328"/>
    <w:lvl w:ilvl="0" w:tplc="277643F4">
      <w:numFmt w:val="bullet"/>
      <w:lvlText w:val="-"/>
      <w:lvlJc w:val="left"/>
      <w:pPr>
        <w:ind w:left="360" w:hanging="360"/>
      </w:pPr>
      <w:rPr>
        <w:rFonts w:ascii="Palatino Linotype" w:eastAsiaTheme="minorHAnsi" w:hAnsi="Palatino Linotype" w:cstheme="minorBidi"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nsid w:val="5C590A6B"/>
    <w:multiLevelType w:val="hybridMultilevel"/>
    <w:tmpl w:val="9E489BCE"/>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nsid w:val="651945CD"/>
    <w:multiLevelType w:val="hybridMultilevel"/>
    <w:tmpl w:val="33DE56F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C135334"/>
    <w:multiLevelType w:val="hybridMultilevel"/>
    <w:tmpl w:val="7FB26A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5D83211"/>
    <w:multiLevelType w:val="hybridMultilevel"/>
    <w:tmpl w:val="F9D06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5E822A4"/>
    <w:multiLevelType w:val="hybridMultilevel"/>
    <w:tmpl w:val="345E81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5"/>
  </w:num>
  <w:num w:numId="4">
    <w:abstractNumId w:val="4"/>
  </w:num>
  <w:num w:numId="5">
    <w:abstractNumId w:val="14"/>
  </w:num>
  <w:num w:numId="6">
    <w:abstractNumId w:val="17"/>
  </w:num>
  <w:num w:numId="7">
    <w:abstractNumId w:val="9"/>
  </w:num>
  <w:num w:numId="8">
    <w:abstractNumId w:val="1"/>
  </w:num>
  <w:num w:numId="9">
    <w:abstractNumId w:val="3"/>
  </w:num>
  <w:num w:numId="10">
    <w:abstractNumId w:val="2"/>
  </w:num>
  <w:num w:numId="11">
    <w:abstractNumId w:val="7"/>
  </w:num>
  <w:num w:numId="12">
    <w:abstractNumId w:val="0"/>
  </w:num>
  <w:num w:numId="13">
    <w:abstractNumId w:val="12"/>
  </w:num>
  <w:num w:numId="14">
    <w:abstractNumId w:val="18"/>
  </w:num>
  <w:num w:numId="15">
    <w:abstractNumId w:val="8"/>
  </w:num>
  <w:num w:numId="16">
    <w:abstractNumId w:val="10"/>
  </w:num>
  <w:num w:numId="17">
    <w:abstractNumId w:val="13"/>
  </w:num>
  <w:num w:numId="18">
    <w:abstractNumId w:val="1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103F8"/>
    <w:rsid w:val="000110B6"/>
    <w:rsid w:val="00012AB2"/>
    <w:rsid w:val="00014D23"/>
    <w:rsid w:val="000165C7"/>
    <w:rsid w:val="00016EE5"/>
    <w:rsid w:val="00020108"/>
    <w:rsid w:val="000244D4"/>
    <w:rsid w:val="000252A3"/>
    <w:rsid w:val="00027543"/>
    <w:rsid w:val="000314C4"/>
    <w:rsid w:val="00041820"/>
    <w:rsid w:val="0004240D"/>
    <w:rsid w:val="0004288C"/>
    <w:rsid w:val="000445CD"/>
    <w:rsid w:val="00046740"/>
    <w:rsid w:val="00047EDF"/>
    <w:rsid w:val="00050132"/>
    <w:rsid w:val="000508AA"/>
    <w:rsid w:val="00053278"/>
    <w:rsid w:val="00053B84"/>
    <w:rsid w:val="0006310A"/>
    <w:rsid w:val="00076298"/>
    <w:rsid w:val="000774BC"/>
    <w:rsid w:val="000812B5"/>
    <w:rsid w:val="000838C6"/>
    <w:rsid w:val="000840BE"/>
    <w:rsid w:val="0008477C"/>
    <w:rsid w:val="0008542A"/>
    <w:rsid w:val="000868F5"/>
    <w:rsid w:val="0008737A"/>
    <w:rsid w:val="000879B4"/>
    <w:rsid w:val="000B0067"/>
    <w:rsid w:val="000B1E6A"/>
    <w:rsid w:val="000B36E9"/>
    <w:rsid w:val="000B3FFD"/>
    <w:rsid w:val="000B4147"/>
    <w:rsid w:val="000B5877"/>
    <w:rsid w:val="000B5C40"/>
    <w:rsid w:val="000C4453"/>
    <w:rsid w:val="000D626E"/>
    <w:rsid w:val="000D710B"/>
    <w:rsid w:val="000E11A9"/>
    <w:rsid w:val="000E76A6"/>
    <w:rsid w:val="000F1847"/>
    <w:rsid w:val="000F3D5E"/>
    <w:rsid w:val="000F50E8"/>
    <w:rsid w:val="0010019B"/>
    <w:rsid w:val="00105DA8"/>
    <w:rsid w:val="00110A70"/>
    <w:rsid w:val="0011251D"/>
    <w:rsid w:val="00122E6E"/>
    <w:rsid w:val="0012436A"/>
    <w:rsid w:val="001352AD"/>
    <w:rsid w:val="0013600E"/>
    <w:rsid w:val="00143E74"/>
    <w:rsid w:val="00145629"/>
    <w:rsid w:val="00156361"/>
    <w:rsid w:val="00162EE0"/>
    <w:rsid w:val="001665B5"/>
    <w:rsid w:val="001706D8"/>
    <w:rsid w:val="00174717"/>
    <w:rsid w:val="00181E7B"/>
    <w:rsid w:val="00185575"/>
    <w:rsid w:val="00187C90"/>
    <w:rsid w:val="00190F07"/>
    <w:rsid w:val="001928EC"/>
    <w:rsid w:val="001938DA"/>
    <w:rsid w:val="0019544D"/>
    <w:rsid w:val="001B0DB4"/>
    <w:rsid w:val="001B3177"/>
    <w:rsid w:val="001C2318"/>
    <w:rsid w:val="001C2489"/>
    <w:rsid w:val="001C62FB"/>
    <w:rsid w:val="001D13AC"/>
    <w:rsid w:val="001D2872"/>
    <w:rsid w:val="001D3EA3"/>
    <w:rsid w:val="001D5AEB"/>
    <w:rsid w:val="001D5D6B"/>
    <w:rsid w:val="001E6F45"/>
    <w:rsid w:val="001F1722"/>
    <w:rsid w:val="001F5CA0"/>
    <w:rsid w:val="00206D85"/>
    <w:rsid w:val="002119E7"/>
    <w:rsid w:val="00214282"/>
    <w:rsid w:val="00214AA1"/>
    <w:rsid w:val="00222980"/>
    <w:rsid w:val="00223A0E"/>
    <w:rsid w:val="00224532"/>
    <w:rsid w:val="00224CE2"/>
    <w:rsid w:val="00225AF8"/>
    <w:rsid w:val="00230C89"/>
    <w:rsid w:val="00242224"/>
    <w:rsid w:val="00246378"/>
    <w:rsid w:val="00253BA0"/>
    <w:rsid w:val="00264F22"/>
    <w:rsid w:val="0026560C"/>
    <w:rsid w:val="00267C5C"/>
    <w:rsid w:val="002731A7"/>
    <w:rsid w:val="002A1C5F"/>
    <w:rsid w:val="002A2F7E"/>
    <w:rsid w:val="002A3DF8"/>
    <w:rsid w:val="002A3F6B"/>
    <w:rsid w:val="002A5E42"/>
    <w:rsid w:val="002B2118"/>
    <w:rsid w:val="002B6F74"/>
    <w:rsid w:val="002C7665"/>
    <w:rsid w:val="002D1549"/>
    <w:rsid w:val="002D237D"/>
    <w:rsid w:val="002D3ADC"/>
    <w:rsid w:val="002D56A8"/>
    <w:rsid w:val="002E0611"/>
    <w:rsid w:val="002E0EDE"/>
    <w:rsid w:val="002E5289"/>
    <w:rsid w:val="002F077A"/>
    <w:rsid w:val="002F12CA"/>
    <w:rsid w:val="002F1536"/>
    <w:rsid w:val="002F4A49"/>
    <w:rsid w:val="002F4FE5"/>
    <w:rsid w:val="002F52FC"/>
    <w:rsid w:val="002F627F"/>
    <w:rsid w:val="003023B7"/>
    <w:rsid w:val="0031082C"/>
    <w:rsid w:val="00310936"/>
    <w:rsid w:val="003116B1"/>
    <w:rsid w:val="0031287C"/>
    <w:rsid w:val="0031370C"/>
    <w:rsid w:val="00320CEE"/>
    <w:rsid w:val="00322791"/>
    <w:rsid w:val="003327E5"/>
    <w:rsid w:val="00336B3B"/>
    <w:rsid w:val="0034792A"/>
    <w:rsid w:val="0035024A"/>
    <w:rsid w:val="003520D1"/>
    <w:rsid w:val="00360A9E"/>
    <w:rsid w:val="0036344C"/>
    <w:rsid w:val="00363C02"/>
    <w:rsid w:val="00364C49"/>
    <w:rsid w:val="00365E6D"/>
    <w:rsid w:val="003666CB"/>
    <w:rsid w:val="0036720F"/>
    <w:rsid w:val="00384AC7"/>
    <w:rsid w:val="003929C8"/>
    <w:rsid w:val="00393DFF"/>
    <w:rsid w:val="00397F22"/>
    <w:rsid w:val="003A0D65"/>
    <w:rsid w:val="003A5932"/>
    <w:rsid w:val="003A6550"/>
    <w:rsid w:val="003B04D0"/>
    <w:rsid w:val="003B3487"/>
    <w:rsid w:val="003B41E5"/>
    <w:rsid w:val="003B7B45"/>
    <w:rsid w:val="003C1A31"/>
    <w:rsid w:val="003C25BA"/>
    <w:rsid w:val="003D3640"/>
    <w:rsid w:val="003E0BC9"/>
    <w:rsid w:val="003E15BB"/>
    <w:rsid w:val="003E2138"/>
    <w:rsid w:val="003E2904"/>
    <w:rsid w:val="003E3F1B"/>
    <w:rsid w:val="003F7550"/>
    <w:rsid w:val="00411BEF"/>
    <w:rsid w:val="00411CDC"/>
    <w:rsid w:val="004123E0"/>
    <w:rsid w:val="00415E47"/>
    <w:rsid w:val="00416752"/>
    <w:rsid w:val="00424973"/>
    <w:rsid w:val="00433DE7"/>
    <w:rsid w:val="004437A4"/>
    <w:rsid w:val="00445E66"/>
    <w:rsid w:val="004461DC"/>
    <w:rsid w:val="00450C4A"/>
    <w:rsid w:val="0045210B"/>
    <w:rsid w:val="004539E3"/>
    <w:rsid w:val="004571AC"/>
    <w:rsid w:val="004578FD"/>
    <w:rsid w:val="00457B04"/>
    <w:rsid w:val="004665B2"/>
    <w:rsid w:val="0047000B"/>
    <w:rsid w:val="0047013A"/>
    <w:rsid w:val="004701B0"/>
    <w:rsid w:val="004716D3"/>
    <w:rsid w:val="004736EF"/>
    <w:rsid w:val="00474020"/>
    <w:rsid w:val="00480A1B"/>
    <w:rsid w:val="00483891"/>
    <w:rsid w:val="0048455E"/>
    <w:rsid w:val="00484DB3"/>
    <w:rsid w:val="004938EB"/>
    <w:rsid w:val="004A2128"/>
    <w:rsid w:val="004B380D"/>
    <w:rsid w:val="004B471B"/>
    <w:rsid w:val="004B5A88"/>
    <w:rsid w:val="004C287E"/>
    <w:rsid w:val="004C5B62"/>
    <w:rsid w:val="004C691F"/>
    <w:rsid w:val="004D03CE"/>
    <w:rsid w:val="004D0A26"/>
    <w:rsid w:val="004D12BC"/>
    <w:rsid w:val="004D6499"/>
    <w:rsid w:val="004D7534"/>
    <w:rsid w:val="004E6229"/>
    <w:rsid w:val="004F25ED"/>
    <w:rsid w:val="004F2EE2"/>
    <w:rsid w:val="004F313C"/>
    <w:rsid w:val="004F3EAB"/>
    <w:rsid w:val="004F4FC6"/>
    <w:rsid w:val="00506B07"/>
    <w:rsid w:val="00515268"/>
    <w:rsid w:val="0051689B"/>
    <w:rsid w:val="00520D75"/>
    <w:rsid w:val="00534235"/>
    <w:rsid w:val="0053480A"/>
    <w:rsid w:val="00536192"/>
    <w:rsid w:val="00543BFC"/>
    <w:rsid w:val="00553A4E"/>
    <w:rsid w:val="00553E8C"/>
    <w:rsid w:val="0055728A"/>
    <w:rsid w:val="00560767"/>
    <w:rsid w:val="00561E48"/>
    <w:rsid w:val="00562D01"/>
    <w:rsid w:val="00572399"/>
    <w:rsid w:val="005736C6"/>
    <w:rsid w:val="0057477C"/>
    <w:rsid w:val="00575235"/>
    <w:rsid w:val="00583235"/>
    <w:rsid w:val="005944F4"/>
    <w:rsid w:val="005A04EF"/>
    <w:rsid w:val="005A11CB"/>
    <w:rsid w:val="005A1ADF"/>
    <w:rsid w:val="005A53CD"/>
    <w:rsid w:val="005B7B43"/>
    <w:rsid w:val="005C29CE"/>
    <w:rsid w:val="005C3D2F"/>
    <w:rsid w:val="005D1946"/>
    <w:rsid w:val="005E0676"/>
    <w:rsid w:val="005E1100"/>
    <w:rsid w:val="005E1785"/>
    <w:rsid w:val="005E59BE"/>
    <w:rsid w:val="005F1990"/>
    <w:rsid w:val="005F2A59"/>
    <w:rsid w:val="005F58B1"/>
    <w:rsid w:val="006044E0"/>
    <w:rsid w:val="006048B5"/>
    <w:rsid w:val="0060780B"/>
    <w:rsid w:val="00616199"/>
    <w:rsid w:val="00616F7F"/>
    <w:rsid w:val="00617369"/>
    <w:rsid w:val="00620FDF"/>
    <w:rsid w:val="006218DC"/>
    <w:rsid w:val="006232F2"/>
    <w:rsid w:val="00625866"/>
    <w:rsid w:val="0063126D"/>
    <w:rsid w:val="00632F12"/>
    <w:rsid w:val="00634485"/>
    <w:rsid w:val="00635601"/>
    <w:rsid w:val="00643A81"/>
    <w:rsid w:val="00644784"/>
    <w:rsid w:val="00645549"/>
    <w:rsid w:val="00650AC9"/>
    <w:rsid w:val="006708E3"/>
    <w:rsid w:val="0068304C"/>
    <w:rsid w:val="006832F8"/>
    <w:rsid w:val="006841CD"/>
    <w:rsid w:val="00684595"/>
    <w:rsid w:val="00690859"/>
    <w:rsid w:val="006922D5"/>
    <w:rsid w:val="00692923"/>
    <w:rsid w:val="00696D4B"/>
    <w:rsid w:val="006A14F0"/>
    <w:rsid w:val="006A4679"/>
    <w:rsid w:val="006A7B4E"/>
    <w:rsid w:val="006D47DB"/>
    <w:rsid w:val="006D6CA1"/>
    <w:rsid w:val="006D78EC"/>
    <w:rsid w:val="006E55BA"/>
    <w:rsid w:val="006E6389"/>
    <w:rsid w:val="006E7597"/>
    <w:rsid w:val="006F2FF6"/>
    <w:rsid w:val="006F30F8"/>
    <w:rsid w:val="006F35AF"/>
    <w:rsid w:val="006F4B28"/>
    <w:rsid w:val="00700C49"/>
    <w:rsid w:val="00704DB2"/>
    <w:rsid w:val="0070521E"/>
    <w:rsid w:val="0070535D"/>
    <w:rsid w:val="00706F63"/>
    <w:rsid w:val="00710C9E"/>
    <w:rsid w:val="00717CA7"/>
    <w:rsid w:val="0072183E"/>
    <w:rsid w:val="00731928"/>
    <w:rsid w:val="007337EF"/>
    <w:rsid w:val="00736C06"/>
    <w:rsid w:val="00737524"/>
    <w:rsid w:val="00737D20"/>
    <w:rsid w:val="00740B90"/>
    <w:rsid w:val="00747F4C"/>
    <w:rsid w:val="00753F2E"/>
    <w:rsid w:val="00756E92"/>
    <w:rsid w:val="007601E4"/>
    <w:rsid w:val="00760FC9"/>
    <w:rsid w:val="007614FF"/>
    <w:rsid w:val="007627EA"/>
    <w:rsid w:val="00766347"/>
    <w:rsid w:val="00766E4A"/>
    <w:rsid w:val="00772515"/>
    <w:rsid w:val="00783622"/>
    <w:rsid w:val="007867E1"/>
    <w:rsid w:val="00790FC4"/>
    <w:rsid w:val="007A3E6E"/>
    <w:rsid w:val="007A57AC"/>
    <w:rsid w:val="007A64FD"/>
    <w:rsid w:val="007A7C9A"/>
    <w:rsid w:val="007B419F"/>
    <w:rsid w:val="007B70C1"/>
    <w:rsid w:val="007C2AA3"/>
    <w:rsid w:val="007C45E0"/>
    <w:rsid w:val="007C75AE"/>
    <w:rsid w:val="007D133D"/>
    <w:rsid w:val="007D690D"/>
    <w:rsid w:val="007E013F"/>
    <w:rsid w:val="007E2755"/>
    <w:rsid w:val="007E4484"/>
    <w:rsid w:val="007E7FD2"/>
    <w:rsid w:val="007F0E85"/>
    <w:rsid w:val="007F288E"/>
    <w:rsid w:val="007F3153"/>
    <w:rsid w:val="007F4042"/>
    <w:rsid w:val="007F78F2"/>
    <w:rsid w:val="008000D4"/>
    <w:rsid w:val="00803006"/>
    <w:rsid w:val="00805420"/>
    <w:rsid w:val="008060BD"/>
    <w:rsid w:val="008071E6"/>
    <w:rsid w:val="00811C92"/>
    <w:rsid w:val="008127EE"/>
    <w:rsid w:val="00813388"/>
    <w:rsid w:val="00814254"/>
    <w:rsid w:val="0081574C"/>
    <w:rsid w:val="0081576B"/>
    <w:rsid w:val="0081611A"/>
    <w:rsid w:val="0082281C"/>
    <w:rsid w:val="008273EF"/>
    <w:rsid w:val="00831DEC"/>
    <w:rsid w:val="00834C48"/>
    <w:rsid w:val="00845DA4"/>
    <w:rsid w:val="00847C65"/>
    <w:rsid w:val="0085746D"/>
    <w:rsid w:val="00863766"/>
    <w:rsid w:val="008647C2"/>
    <w:rsid w:val="008710F0"/>
    <w:rsid w:val="0088262E"/>
    <w:rsid w:val="008844F3"/>
    <w:rsid w:val="00885E74"/>
    <w:rsid w:val="008912DD"/>
    <w:rsid w:val="00892AFC"/>
    <w:rsid w:val="00895503"/>
    <w:rsid w:val="008A674A"/>
    <w:rsid w:val="008A7301"/>
    <w:rsid w:val="008A7B64"/>
    <w:rsid w:val="008B18B4"/>
    <w:rsid w:val="008B4AD4"/>
    <w:rsid w:val="008C04F9"/>
    <w:rsid w:val="008C0B6B"/>
    <w:rsid w:val="008C35FC"/>
    <w:rsid w:val="008C7C8C"/>
    <w:rsid w:val="008C7D47"/>
    <w:rsid w:val="008D1526"/>
    <w:rsid w:val="008D4FFD"/>
    <w:rsid w:val="008F27DC"/>
    <w:rsid w:val="008F54A9"/>
    <w:rsid w:val="008F6F33"/>
    <w:rsid w:val="00902AA2"/>
    <w:rsid w:val="0090405F"/>
    <w:rsid w:val="00905068"/>
    <w:rsid w:val="00910E6C"/>
    <w:rsid w:val="009239CD"/>
    <w:rsid w:val="00934418"/>
    <w:rsid w:val="00945179"/>
    <w:rsid w:val="00947E42"/>
    <w:rsid w:val="00957397"/>
    <w:rsid w:val="00963577"/>
    <w:rsid w:val="00972907"/>
    <w:rsid w:val="00975312"/>
    <w:rsid w:val="00975EB9"/>
    <w:rsid w:val="00992D8F"/>
    <w:rsid w:val="009A0DB8"/>
    <w:rsid w:val="009A1351"/>
    <w:rsid w:val="009A2582"/>
    <w:rsid w:val="009A3508"/>
    <w:rsid w:val="009C1772"/>
    <w:rsid w:val="009C5D86"/>
    <w:rsid w:val="009C66CC"/>
    <w:rsid w:val="009D0C13"/>
    <w:rsid w:val="009D1FCB"/>
    <w:rsid w:val="009D3E62"/>
    <w:rsid w:val="009D4D96"/>
    <w:rsid w:val="009D60BD"/>
    <w:rsid w:val="009E780D"/>
    <w:rsid w:val="009F121B"/>
    <w:rsid w:val="009F30C2"/>
    <w:rsid w:val="009F3BDC"/>
    <w:rsid w:val="009F4AC0"/>
    <w:rsid w:val="009F5290"/>
    <w:rsid w:val="00A02BDE"/>
    <w:rsid w:val="00A05C96"/>
    <w:rsid w:val="00A12C96"/>
    <w:rsid w:val="00A14869"/>
    <w:rsid w:val="00A14BC7"/>
    <w:rsid w:val="00A1648C"/>
    <w:rsid w:val="00A166B1"/>
    <w:rsid w:val="00A323F3"/>
    <w:rsid w:val="00A32A9A"/>
    <w:rsid w:val="00A33BE6"/>
    <w:rsid w:val="00A35F15"/>
    <w:rsid w:val="00A37403"/>
    <w:rsid w:val="00A46E86"/>
    <w:rsid w:val="00A47380"/>
    <w:rsid w:val="00A47EAB"/>
    <w:rsid w:val="00A51A82"/>
    <w:rsid w:val="00A55065"/>
    <w:rsid w:val="00A614FA"/>
    <w:rsid w:val="00A648BC"/>
    <w:rsid w:val="00A649E3"/>
    <w:rsid w:val="00A71D9C"/>
    <w:rsid w:val="00A81140"/>
    <w:rsid w:val="00A829F4"/>
    <w:rsid w:val="00A83C13"/>
    <w:rsid w:val="00A94689"/>
    <w:rsid w:val="00A95B5D"/>
    <w:rsid w:val="00AA0C48"/>
    <w:rsid w:val="00AA3B03"/>
    <w:rsid w:val="00AA4D18"/>
    <w:rsid w:val="00AA62EE"/>
    <w:rsid w:val="00AB586E"/>
    <w:rsid w:val="00AB68B0"/>
    <w:rsid w:val="00AC0E82"/>
    <w:rsid w:val="00AC5642"/>
    <w:rsid w:val="00AD46D9"/>
    <w:rsid w:val="00AD65F6"/>
    <w:rsid w:val="00AD7D29"/>
    <w:rsid w:val="00AE1AFE"/>
    <w:rsid w:val="00AE3C93"/>
    <w:rsid w:val="00AE63C8"/>
    <w:rsid w:val="00B00154"/>
    <w:rsid w:val="00B005B3"/>
    <w:rsid w:val="00B02CB0"/>
    <w:rsid w:val="00B02DBC"/>
    <w:rsid w:val="00B0317C"/>
    <w:rsid w:val="00B03BF8"/>
    <w:rsid w:val="00B337A5"/>
    <w:rsid w:val="00B352B3"/>
    <w:rsid w:val="00B46AEB"/>
    <w:rsid w:val="00B53290"/>
    <w:rsid w:val="00B5380B"/>
    <w:rsid w:val="00B56FA8"/>
    <w:rsid w:val="00B62D27"/>
    <w:rsid w:val="00B72F71"/>
    <w:rsid w:val="00B73A65"/>
    <w:rsid w:val="00B74248"/>
    <w:rsid w:val="00B94089"/>
    <w:rsid w:val="00B94599"/>
    <w:rsid w:val="00BA0EE2"/>
    <w:rsid w:val="00BA0F2E"/>
    <w:rsid w:val="00BA1166"/>
    <w:rsid w:val="00BA55D5"/>
    <w:rsid w:val="00BA5BC3"/>
    <w:rsid w:val="00BB0D58"/>
    <w:rsid w:val="00BB6390"/>
    <w:rsid w:val="00BB7295"/>
    <w:rsid w:val="00BC0E85"/>
    <w:rsid w:val="00BC424B"/>
    <w:rsid w:val="00BD4421"/>
    <w:rsid w:val="00BD7483"/>
    <w:rsid w:val="00BE3051"/>
    <w:rsid w:val="00BE4CFB"/>
    <w:rsid w:val="00BF033B"/>
    <w:rsid w:val="00BF271C"/>
    <w:rsid w:val="00BF4F5B"/>
    <w:rsid w:val="00C06EE2"/>
    <w:rsid w:val="00C15351"/>
    <w:rsid w:val="00C22B6E"/>
    <w:rsid w:val="00C30CA2"/>
    <w:rsid w:val="00C31C6F"/>
    <w:rsid w:val="00C32AD6"/>
    <w:rsid w:val="00C36BDA"/>
    <w:rsid w:val="00C47343"/>
    <w:rsid w:val="00C53659"/>
    <w:rsid w:val="00C55313"/>
    <w:rsid w:val="00C558CB"/>
    <w:rsid w:val="00C650FE"/>
    <w:rsid w:val="00C66660"/>
    <w:rsid w:val="00C7230B"/>
    <w:rsid w:val="00C75B24"/>
    <w:rsid w:val="00C80F8C"/>
    <w:rsid w:val="00C83E0B"/>
    <w:rsid w:val="00C858CB"/>
    <w:rsid w:val="00C85AB0"/>
    <w:rsid w:val="00C9645E"/>
    <w:rsid w:val="00CA1CE5"/>
    <w:rsid w:val="00CA3E8A"/>
    <w:rsid w:val="00CA79EA"/>
    <w:rsid w:val="00CB2CE3"/>
    <w:rsid w:val="00CC4FED"/>
    <w:rsid w:val="00CD7C11"/>
    <w:rsid w:val="00CF2DB3"/>
    <w:rsid w:val="00CF30E8"/>
    <w:rsid w:val="00D047E8"/>
    <w:rsid w:val="00D04D42"/>
    <w:rsid w:val="00D10859"/>
    <w:rsid w:val="00D21840"/>
    <w:rsid w:val="00D243C7"/>
    <w:rsid w:val="00D322CE"/>
    <w:rsid w:val="00D328BC"/>
    <w:rsid w:val="00D32EC7"/>
    <w:rsid w:val="00D33211"/>
    <w:rsid w:val="00D40599"/>
    <w:rsid w:val="00D412D8"/>
    <w:rsid w:val="00D51FEB"/>
    <w:rsid w:val="00D528E5"/>
    <w:rsid w:val="00D52A18"/>
    <w:rsid w:val="00D57997"/>
    <w:rsid w:val="00D57D0F"/>
    <w:rsid w:val="00D57FDF"/>
    <w:rsid w:val="00D64005"/>
    <w:rsid w:val="00D64B9A"/>
    <w:rsid w:val="00D651C7"/>
    <w:rsid w:val="00D759DE"/>
    <w:rsid w:val="00D77738"/>
    <w:rsid w:val="00D85B10"/>
    <w:rsid w:val="00D861D8"/>
    <w:rsid w:val="00D9007F"/>
    <w:rsid w:val="00D9156F"/>
    <w:rsid w:val="00D96E6D"/>
    <w:rsid w:val="00D9787F"/>
    <w:rsid w:val="00DA10B4"/>
    <w:rsid w:val="00DA1BAA"/>
    <w:rsid w:val="00DA1C65"/>
    <w:rsid w:val="00DA2388"/>
    <w:rsid w:val="00DA33F5"/>
    <w:rsid w:val="00DB3F69"/>
    <w:rsid w:val="00DB564C"/>
    <w:rsid w:val="00DB6E06"/>
    <w:rsid w:val="00DC3BDE"/>
    <w:rsid w:val="00DC4ECF"/>
    <w:rsid w:val="00DC59FF"/>
    <w:rsid w:val="00DD0855"/>
    <w:rsid w:val="00DD0EFD"/>
    <w:rsid w:val="00DD2B64"/>
    <w:rsid w:val="00DD3171"/>
    <w:rsid w:val="00DD6036"/>
    <w:rsid w:val="00DE4624"/>
    <w:rsid w:val="00DF525B"/>
    <w:rsid w:val="00DF5DDA"/>
    <w:rsid w:val="00DF6486"/>
    <w:rsid w:val="00E03270"/>
    <w:rsid w:val="00E063F3"/>
    <w:rsid w:val="00E12948"/>
    <w:rsid w:val="00E15B50"/>
    <w:rsid w:val="00E21594"/>
    <w:rsid w:val="00E247EC"/>
    <w:rsid w:val="00E27918"/>
    <w:rsid w:val="00E310E8"/>
    <w:rsid w:val="00E317A6"/>
    <w:rsid w:val="00E319E1"/>
    <w:rsid w:val="00E34777"/>
    <w:rsid w:val="00E36E10"/>
    <w:rsid w:val="00E438E8"/>
    <w:rsid w:val="00E53A86"/>
    <w:rsid w:val="00E55E0E"/>
    <w:rsid w:val="00E6172F"/>
    <w:rsid w:val="00E63612"/>
    <w:rsid w:val="00E64759"/>
    <w:rsid w:val="00E679CB"/>
    <w:rsid w:val="00E7360F"/>
    <w:rsid w:val="00E80821"/>
    <w:rsid w:val="00EA1FE3"/>
    <w:rsid w:val="00EA3BC3"/>
    <w:rsid w:val="00EA558B"/>
    <w:rsid w:val="00EB0254"/>
    <w:rsid w:val="00EB26E7"/>
    <w:rsid w:val="00EB3186"/>
    <w:rsid w:val="00EB3659"/>
    <w:rsid w:val="00EB4F4F"/>
    <w:rsid w:val="00EC0343"/>
    <w:rsid w:val="00EC28FE"/>
    <w:rsid w:val="00EC3276"/>
    <w:rsid w:val="00EC3656"/>
    <w:rsid w:val="00EC462C"/>
    <w:rsid w:val="00EC473C"/>
    <w:rsid w:val="00ED1010"/>
    <w:rsid w:val="00ED51ED"/>
    <w:rsid w:val="00ED6338"/>
    <w:rsid w:val="00EE22C2"/>
    <w:rsid w:val="00EE4E0D"/>
    <w:rsid w:val="00EF008E"/>
    <w:rsid w:val="00EF2D47"/>
    <w:rsid w:val="00F109A8"/>
    <w:rsid w:val="00F10CF6"/>
    <w:rsid w:val="00F12C79"/>
    <w:rsid w:val="00F35CA3"/>
    <w:rsid w:val="00F3621D"/>
    <w:rsid w:val="00F40941"/>
    <w:rsid w:val="00F42A73"/>
    <w:rsid w:val="00F46492"/>
    <w:rsid w:val="00F50BDD"/>
    <w:rsid w:val="00F55F16"/>
    <w:rsid w:val="00F55FE6"/>
    <w:rsid w:val="00F57F14"/>
    <w:rsid w:val="00F63F9E"/>
    <w:rsid w:val="00F65123"/>
    <w:rsid w:val="00F659A6"/>
    <w:rsid w:val="00F65F02"/>
    <w:rsid w:val="00F6770E"/>
    <w:rsid w:val="00F8040E"/>
    <w:rsid w:val="00F8765D"/>
    <w:rsid w:val="00F90ADB"/>
    <w:rsid w:val="00F91891"/>
    <w:rsid w:val="00F91978"/>
    <w:rsid w:val="00F93BED"/>
    <w:rsid w:val="00FB48D6"/>
    <w:rsid w:val="00FC21AA"/>
    <w:rsid w:val="00FC72F9"/>
    <w:rsid w:val="00FD2C45"/>
    <w:rsid w:val="00FE527A"/>
    <w:rsid w:val="00FE7356"/>
    <w:rsid w:val="00FE77D5"/>
    <w:rsid w:val="00FF0612"/>
    <w:rsid w:val="00FF2050"/>
    <w:rsid w:val="00FF2135"/>
    <w:rsid w:val="00FF4C86"/>
    <w:rsid w:val="00FF586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3E8CC70D"/>
  <w14:defaultImageDpi w14:val="300"/>
  <w15:docId w15:val="{CB145698-DBB4-44F1-B466-BEE779D8F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2">
    <w:name w:val="heading 2"/>
    <w:basedOn w:val="Normal"/>
    <w:link w:val="Ttulo2Car"/>
    <w:uiPriority w:val="1"/>
    <w:qFormat/>
    <w:rsid w:val="00EE4E0D"/>
    <w:pPr>
      <w:widowControl w:val="0"/>
      <w:ind w:left="117"/>
      <w:outlineLvl w:val="1"/>
    </w:pPr>
    <w:rPr>
      <w:rFonts w:cstheme="minorBidi"/>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42A73"/>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42A73"/>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F42A73"/>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F42A73"/>
    <w:pPr>
      <w:spacing w:after="160" w:line="259" w:lineRule="auto"/>
      <w:ind w:left="720"/>
      <w:contextualSpacing/>
    </w:pPr>
    <w:rPr>
      <w:rFonts w:asciiTheme="minorHAnsi" w:eastAsiaTheme="minorHAnsi" w:hAnsiTheme="minorHAnsi" w:cstheme="minorBidi"/>
      <w:sz w:val="22"/>
      <w:szCs w:val="22"/>
      <w:lang w:val="es-MX" w:eastAsia="en-US"/>
    </w:rPr>
  </w:style>
  <w:style w:type="table" w:styleId="Tablaconcuadrcula">
    <w:name w:val="Table Grid"/>
    <w:basedOn w:val="Tablanormal"/>
    <w:uiPriority w:val="39"/>
    <w:rsid w:val="00F42A7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42A73"/>
    <w:pPr>
      <w:autoSpaceDE w:val="0"/>
      <w:autoSpaceDN w:val="0"/>
      <w:adjustRightInd w:val="0"/>
    </w:pPr>
    <w:rPr>
      <w:rFonts w:ascii="Arial" w:eastAsiaTheme="minorHAnsi" w:hAnsi="Arial" w:cs="Arial"/>
      <w:color w:val="000000"/>
      <w:lang w:val="es-MX" w:eastAsia="en-US"/>
    </w:rPr>
  </w:style>
  <w:style w:type="character" w:styleId="Hipervnculo">
    <w:name w:val="Hyperlink"/>
    <w:basedOn w:val="Fuentedeprrafopredeter"/>
    <w:uiPriority w:val="99"/>
    <w:unhideWhenUsed/>
    <w:rsid w:val="004461DC"/>
    <w:rPr>
      <w:color w:val="0000FF"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46378"/>
    <w:rPr>
      <w:rFonts w:eastAsiaTheme="minorHAnsi"/>
      <w:sz w:val="22"/>
      <w:szCs w:val="22"/>
      <w:lang w:val="es-MX" w:eastAsia="en-US"/>
    </w:rPr>
  </w:style>
  <w:style w:type="character" w:customStyle="1" w:styleId="apple-converted-space">
    <w:name w:val="apple-converted-space"/>
    <w:basedOn w:val="Fuentedeprrafopredeter"/>
    <w:rsid w:val="00560767"/>
  </w:style>
  <w:style w:type="paragraph" w:customStyle="1" w:styleId="p">
    <w:name w:val="p"/>
    <w:basedOn w:val="Normal"/>
    <w:rsid w:val="00560767"/>
    <w:pPr>
      <w:spacing w:before="100" w:beforeAutospacing="1" w:after="100" w:afterAutospacing="1"/>
    </w:pPr>
    <w:rPr>
      <w:lang w:val="es-MX" w:eastAsia="es-MX"/>
    </w:rPr>
  </w:style>
  <w:style w:type="character" w:customStyle="1" w:styleId="d">
    <w:name w:val="d"/>
    <w:basedOn w:val="Fuentedeprrafopredeter"/>
    <w:rsid w:val="00560767"/>
  </w:style>
  <w:style w:type="character" w:customStyle="1" w:styleId="b">
    <w:name w:val="b"/>
    <w:basedOn w:val="Fuentedeprrafopredeter"/>
    <w:rsid w:val="00560767"/>
  </w:style>
  <w:style w:type="character" w:customStyle="1" w:styleId="g">
    <w:name w:val="g"/>
    <w:basedOn w:val="Fuentedeprrafopredeter"/>
    <w:rsid w:val="00560767"/>
  </w:style>
  <w:style w:type="paragraph" w:customStyle="1" w:styleId="q">
    <w:name w:val="q"/>
    <w:basedOn w:val="Normal"/>
    <w:rsid w:val="00560767"/>
    <w:pPr>
      <w:spacing w:before="100" w:beforeAutospacing="1" w:after="100" w:afterAutospacing="1"/>
    </w:pPr>
    <w:rPr>
      <w:lang w:val="es-MX" w:eastAsia="es-MX"/>
    </w:rPr>
  </w:style>
  <w:style w:type="paragraph" w:styleId="Textoindependiente">
    <w:name w:val="Body Text"/>
    <w:basedOn w:val="Normal"/>
    <w:link w:val="TextoindependienteCar"/>
    <w:uiPriority w:val="99"/>
    <w:unhideWhenUsed/>
    <w:rsid w:val="000774BC"/>
    <w:pPr>
      <w:spacing w:after="120"/>
    </w:pPr>
  </w:style>
  <w:style w:type="character" w:customStyle="1" w:styleId="TextoindependienteCar">
    <w:name w:val="Texto independiente Car"/>
    <w:basedOn w:val="Fuentedeprrafopredeter"/>
    <w:link w:val="Textoindependiente"/>
    <w:uiPriority w:val="99"/>
    <w:rsid w:val="000774BC"/>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DA1BAA"/>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DA1BAA"/>
    <w:rPr>
      <w:rFonts w:ascii="Times New Roman" w:eastAsia="Times New Roman" w:hAnsi="Times New Roman" w:cs="Times New Roman"/>
      <w:lang w:val="es-MX"/>
    </w:rPr>
  </w:style>
  <w:style w:type="character" w:styleId="Textoennegrita">
    <w:name w:val="Strong"/>
    <w:uiPriority w:val="22"/>
    <w:qFormat/>
    <w:rsid w:val="00DA1BAA"/>
    <w:rPr>
      <w:b/>
      <w:bCs/>
    </w:rPr>
  </w:style>
  <w:style w:type="character" w:customStyle="1" w:styleId="Ttulo2Car">
    <w:name w:val="Título 2 Car"/>
    <w:basedOn w:val="Fuentedeprrafopredeter"/>
    <w:link w:val="Ttulo2"/>
    <w:uiPriority w:val="1"/>
    <w:rsid w:val="00EE4E0D"/>
    <w:rPr>
      <w:rFonts w:ascii="Times New Roman" w:eastAsia="Times New Roman" w:hAnsi="Times New Roman"/>
      <w:lang w:val="en-US" w:eastAsia="en-US"/>
    </w:rPr>
  </w:style>
  <w:style w:type="character" w:styleId="nfasis">
    <w:name w:val="Emphasis"/>
    <w:basedOn w:val="Fuentedeprrafopredeter"/>
    <w:uiPriority w:val="20"/>
    <w:qFormat/>
    <w:rsid w:val="004571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6053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E209A-9B75-40E3-93F2-D83EDC7E4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1845</Words>
  <Characters>10152</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2018-09-24T20:56:00Z</cp:lastPrinted>
  <dcterms:created xsi:type="dcterms:W3CDTF">2018-11-21T01:12:00Z</dcterms:created>
  <dcterms:modified xsi:type="dcterms:W3CDTF">2018-11-21T01:12:00Z</dcterms:modified>
</cp:coreProperties>
</file>